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53" w:rsidRPr="00023853" w:rsidRDefault="00023853" w:rsidP="00023853">
      <w:pPr>
        <w:pStyle w:val="3Titre"/>
      </w:pPr>
      <w:r w:rsidRPr="00023853">
        <w:t>Kisvállalkozói hírek az Európai Bizottságtól – 2010. június 5-11.</w:t>
      </w:r>
    </w:p>
    <w:p w:rsidR="00023853" w:rsidRPr="00023853" w:rsidRDefault="00023853" w:rsidP="00023853">
      <w:pPr>
        <w:pStyle w:val="4Chapeau"/>
        <w:spacing w:before="120" w:after="120"/>
        <w:rPr>
          <w:rFonts w:ascii="Times New Roman" w:hAnsi="Times New Roman"/>
          <w:i w:val="0"/>
          <w:sz w:val="24"/>
          <w:szCs w:val="24"/>
        </w:rPr>
      </w:pPr>
      <w:r w:rsidRPr="00023853">
        <w:rPr>
          <w:rFonts w:ascii="Times New Roman" w:hAnsi="Times New Roman"/>
          <w:i w:val="0"/>
          <w:sz w:val="24"/>
          <w:szCs w:val="24"/>
        </w:rPr>
        <w:t>Az Ipartestületek Országos Szövetsége (IPOSZ), mint az UEAPME magyar tagszervezete minden héten összegzi, lefordítja és továbbítja tagjainak az Európai Bizottságnak a kisvállalkozásokat is érintő legfontosabb döntéseit.</w:t>
      </w:r>
    </w:p>
    <w:p w:rsidR="00023853" w:rsidRDefault="00023853" w:rsidP="00023853">
      <w:pPr>
        <w:pStyle w:val="3Titre"/>
      </w:pPr>
    </w:p>
    <w:p w:rsidR="00023853" w:rsidRPr="00327955" w:rsidRDefault="00023853" w:rsidP="00023853">
      <w:pPr>
        <w:pStyle w:val="3Titre"/>
      </w:pPr>
      <w:r w:rsidRPr="00327955">
        <w:t>Tartalomjegyzék:</w:t>
      </w:r>
    </w:p>
    <w:tbl>
      <w:tblPr>
        <w:tblpPr w:leftFromText="141" w:rightFromText="141" w:vertAnchor="text" w:tblpY="1"/>
        <w:tblOverlap w:val="never"/>
        <w:tblW w:w="8046" w:type="dxa"/>
        <w:tblLook w:val="01E0"/>
      </w:tblPr>
      <w:tblGrid>
        <w:gridCol w:w="6487"/>
        <w:gridCol w:w="1559"/>
      </w:tblGrid>
      <w:tr w:rsidR="00023853" w:rsidRPr="00EF23A8" w:rsidTr="00D55F0C">
        <w:tc>
          <w:tcPr>
            <w:tcW w:w="6487" w:type="dxa"/>
          </w:tcPr>
          <w:p w:rsidR="00023853" w:rsidRPr="00D05CF0" w:rsidRDefault="00023853" w:rsidP="00D55F0C">
            <w:pPr>
              <w:pStyle w:val="4Chapeau"/>
              <w:spacing w:before="120"/>
            </w:pPr>
            <w:r>
              <w:rPr>
                <w:rFonts w:ascii="Times New Roman" w:hAnsi="Times New Roman"/>
                <w:i w:val="0"/>
                <w:sz w:val="24"/>
                <w:szCs w:val="24"/>
              </w:rPr>
              <w:t>Állami támogatások: A Bizottság 112 millió eurós támogatás visszafizettetését rendelte el a MOL Magyar Olaj- és Gázipari Nyrt.-től</w:t>
            </w:r>
            <w:r>
              <w:t xml:space="preserve"> </w:t>
            </w:r>
          </w:p>
        </w:tc>
        <w:tc>
          <w:tcPr>
            <w:tcW w:w="1559" w:type="dxa"/>
          </w:tcPr>
          <w:p w:rsidR="00023853" w:rsidRPr="00D05CF0" w:rsidRDefault="00023853" w:rsidP="00D55F0C">
            <w:pPr>
              <w:pStyle w:val="4Chapeau"/>
              <w:spacing w:before="120"/>
            </w:pPr>
            <w:r w:rsidRPr="00D05CF0">
              <w:t xml:space="preserve">         1. oldal</w:t>
            </w:r>
          </w:p>
        </w:tc>
      </w:tr>
      <w:tr w:rsidR="00023853" w:rsidRPr="00EF23A8" w:rsidTr="00D55F0C">
        <w:tc>
          <w:tcPr>
            <w:tcW w:w="6487" w:type="dxa"/>
          </w:tcPr>
          <w:p w:rsidR="00023853" w:rsidRPr="007B65D8" w:rsidRDefault="00964E64" w:rsidP="00D55F0C">
            <w:pPr>
              <w:pStyle w:val="3Titre"/>
            </w:pPr>
            <w:r>
              <w:t>A Bizottság célja a szakképzés ösztönzése</w:t>
            </w:r>
          </w:p>
        </w:tc>
        <w:tc>
          <w:tcPr>
            <w:tcW w:w="1559" w:type="dxa"/>
          </w:tcPr>
          <w:p w:rsidR="00023853" w:rsidRPr="00D05CF0" w:rsidRDefault="00023853" w:rsidP="00D55F0C">
            <w:pPr>
              <w:pStyle w:val="4Chapeau"/>
              <w:spacing w:before="120"/>
            </w:pPr>
            <w:r w:rsidRPr="00D05CF0">
              <w:t xml:space="preserve">         </w:t>
            </w:r>
            <w:r>
              <w:t>2</w:t>
            </w:r>
            <w:r w:rsidRPr="00D05CF0">
              <w:t>. oldal</w:t>
            </w:r>
          </w:p>
        </w:tc>
      </w:tr>
      <w:tr w:rsidR="00023853" w:rsidRPr="00EF23A8" w:rsidTr="00D55F0C">
        <w:tc>
          <w:tcPr>
            <w:tcW w:w="6487" w:type="dxa"/>
          </w:tcPr>
          <w:p w:rsidR="00023853" w:rsidRPr="00D05CF0" w:rsidRDefault="00D55F0C" w:rsidP="00D55F0C">
            <w:pPr>
              <w:pStyle w:val="3Titre"/>
            </w:pPr>
            <w:r>
              <w:t xml:space="preserve">A Bizottság létrehozza a fenntartható bioüzemanyagokra vonatkozó tanúsítási rendszert </w:t>
            </w:r>
          </w:p>
        </w:tc>
        <w:tc>
          <w:tcPr>
            <w:tcW w:w="1559" w:type="dxa"/>
          </w:tcPr>
          <w:p w:rsidR="00023853" w:rsidRPr="00D05CF0" w:rsidRDefault="00023853" w:rsidP="00D55F0C">
            <w:pPr>
              <w:pStyle w:val="4Chapeau"/>
              <w:spacing w:before="120"/>
            </w:pPr>
            <w:r w:rsidRPr="00D05CF0">
              <w:t xml:space="preserve">         </w:t>
            </w:r>
            <w:r>
              <w:t>3</w:t>
            </w:r>
            <w:r w:rsidRPr="00D05CF0">
              <w:t>. oldal</w:t>
            </w:r>
          </w:p>
        </w:tc>
      </w:tr>
      <w:tr w:rsidR="00023853" w:rsidRPr="00EF23A8" w:rsidTr="00D55F0C">
        <w:tc>
          <w:tcPr>
            <w:tcW w:w="6487" w:type="dxa"/>
          </w:tcPr>
          <w:p w:rsidR="00023853" w:rsidRPr="00D05CF0" w:rsidRDefault="00D55F0C" w:rsidP="00D55F0C">
            <w:pPr>
              <w:pStyle w:val="3Titre"/>
            </w:pPr>
            <w:r w:rsidRPr="00824327">
              <w:t>Állami támogatások: A Bizottság konzultációt folytat az érdekelt felekkel az állami támogatási szabályoknak az általános gazdasági érdekű szolgáltatásokra való alkalmazásáról</w:t>
            </w:r>
          </w:p>
        </w:tc>
        <w:tc>
          <w:tcPr>
            <w:tcW w:w="1559" w:type="dxa"/>
          </w:tcPr>
          <w:p w:rsidR="00023853" w:rsidRPr="00D05CF0" w:rsidRDefault="00023853" w:rsidP="00D55F0C">
            <w:pPr>
              <w:pStyle w:val="4Chapeau"/>
              <w:spacing w:before="120"/>
            </w:pPr>
            <w:r>
              <w:t xml:space="preserve">        </w:t>
            </w:r>
            <w:r w:rsidR="00D55F0C">
              <w:t>9.</w:t>
            </w:r>
            <w:r>
              <w:t xml:space="preserve"> oldal</w:t>
            </w:r>
          </w:p>
        </w:tc>
      </w:tr>
      <w:tr w:rsidR="00023853" w:rsidRPr="00EF23A8" w:rsidTr="00D55F0C">
        <w:tc>
          <w:tcPr>
            <w:tcW w:w="6487" w:type="dxa"/>
          </w:tcPr>
          <w:p w:rsidR="00023853" w:rsidRPr="00D05CF0" w:rsidRDefault="00023853" w:rsidP="00D55F0C">
            <w:pPr>
              <w:pStyle w:val="4Chapeau"/>
              <w:spacing w:before="120"/>
            </w:pPr>
          </w:p>
        </w:tc>
        <w:tc>
          <w:tcPr>
            <w:tcW w:w="1559" w:type="dxa"/>
          </w:tcPr>
          <w:p w:rsidR="00023853" w:rsidRPr="00D05CF0" w:rsidRDefault="00023853" w:rsidP="00D55F0C">
            <w:pPr>
              <w:pStyle w:val="4Chapeau"/>
              <w:spacing w:before="120"/>
            </w:pPr>
          </w:p>
        </w:tc>
      </w:tr>
      <w:tr w:rsidR="00023853" w:rsidRPr="00EF23A8" w:rsidTr="00D55F0C">
        <w:tc>
          <w:tcPr>
            <w:tcW w:w="6487" w:type="dxa"/>
          </w:tcPr>
          <w:p w:rsidR="00023853" w:rsidRPr="00327955" w:rsidRDefault="00023853" w:rsidP="00D55F0C">
            <w:pPr>
              <w:pStyle w:val="3Titre"/>
            </w:pPr>
            <w:r w:rsidRPr="00327955">
              <w:t>Európai Bizottság, Kommunikációs Főigazgatóság napi hírei</w:t>
            </w:r>
          </w:p>
        </w:tc>
        <w:tc>
          <w:tcPr>
            <w:tcW w:w="1559" w:type="dxa"/>
          </w:tcPr>
          <w:p w:rsidR="00023853" w:rsidRPr="00D05CF0" w:rsidRDefault="00023853" w:rsidP="00D55F0C">
            <w:pPr>
              <w:pStyle w:val="4Chapeau"/>
              <w:spacing w:before="120"/>
            </w:pPr>
            <w:r w:rsidRPr="00D05CF0">
              <w:t xml:space="preserve">      </w:t>
            </w:r>
            <w:r w:rsidR="00D55F0C">
              <w:t xml:space="preserve"> 10</w:t>
            </w:r>
            <w:r w:rsidRPr="00D05CF0">
              <w:t>. oldal</w:t>
            </w:r>
          </w:p>
        </w:tc>
      </w:tr>
      <w:tr w:rsidR="00023853" w:rsidRPr="00EF23A8" w:rsidTr="00D55F0C">
        <w:tc>
          <w:tcPr>
            <w:tcW w:w="6487" w:type="dxa"/>
          </w:tcPr>
          <w:p w:rsidR="00023853" w:rsidRPr="00D05CF0" w:rsidRDefault="00023853" w:rsidP="00D55F0C">
            <w:pPr>
              <w:pStyle w:val="3Titre"/>
            </w:pPr>
          </w:p>
        </w:tc>
        <w:tc>
          <w:tcPr>
            <w:tcW w:w="1559" w:type="dxa"/>
          </w:tcPr>
          <w:p w:rsidR="00023853" w:rsidRPr="00D05CF0" w:rsidRDefault="00023853" w:rsidP="00D55F0C">
            <w:pPr>
              <w:pStyle w:val="4Chapeau"/>
              <w:spacing w:before="120"/>
            </w:pPr>
            <w:r w:rsidRPr="00D05CF0">
              <w:t xml:space="preserve">       </w:t>
            </w:r>
          </w:p>
        </w:tc>
      </w:tr>
    </w:tbl>
    <w:p w:rsidR="00C17184" w:rsidRDefault="00D55F0C" w:rsidP="00023853">
      <w:pPr>
        <w:pStyle w:val="3Titre"/>
      </w:pPr>
      <w:r>
        <w:br w:type="textWrapping" w:clear="all"/>
      </w:r>
      <w:r w:rsidR="00C17184">
        <w:t xml:space="preserve">Állami támogatások: A Bizottság </w:t>
      </w:r>
      <w:r w:rsidR="00C17184" w:rsidRPr="00A83B32">
        <w:t>112</w:t>
      </w:r>
      <w:r w:rsidR="00C17184">
        <w:t xml:space="preserve"> millió eurós támogatás visszafizettetését rendelte el a MOL Magyar Olaj- és Gázipari Nyrt.-től</w:t>
      </w:r>
    </w:p>
    <w:p w:rsidR="00C17184" w:rsidRDefault="00C17184" w:rsidP="00023853">
      <w:pPr>
        <w:pStyle w:val="4Chapeau"/>
        <w:spacing w:before="120" w:after="120"/>
        <w:rPr>
          <w:szCs w:val="24"/>
        </w:rPr>
      </w:pPr>
      <w:r w:rsidRPr="00964E64">
        <w:rPr>
          <w:sz w:val="20"/>
          <w:lang w:val="hu-HU"/>
        </w:rPr>
        <w:t>Az Európai Bizottság megállapította, hogy a magyar kormány által a MOL Magyar Olaj- és Gázipari Nyrt.-vel kötött 2005. évi megállapodás, valamint a magyar bányászati törvény 2008. évi módosítása olyan pénzügyi előnyt jelentett a MOL számára, amely az uniós állami támogatási szabályok értelmében nem élvezhet mentességet.</w:t>
      </w:r>
      <w:r w:rsidRPr="00964E64">
        <w:rPr>
          <w:sz w:val="20"/>
        </w:rPr>
        <w:t xml:space="preserve"> </w:t>
      </w:r>
      <w:r w:rsidRPr="00964E64">
        <w:rPr>
          <w:sz w:val="20"/>
          <w:lang w:val="hu-HU"/>
        </w:rPr>
        <w:t>A Bizottság ezért mai határozatában a – magyar adatok szerint 30,3 milliárd forint (112 millió euró) összegű – támogatás visszakövetelésére utasította a magyar</w:t>
      </w:r>
      <w:r>
        <w:rPr>
          <w:szCs w:val="24"/>
          <w:lang w:val="hu-HU"/>
        </w:rPr>
        <w:t xml:space="preserve"> </w:t>
      </w:r>
      <w:r w:rsidRPr="00964E64">
        <w:rPr>
          <w:sz w:val="20"/>
          <w:lang w:val="hu-HU"/>
        </w:rPr>
        <w:t>kormányt</w:t>
      </w:r>
      <w:r>
        <w:rPr>
          <w:szCs w:val="24"/>
          <w:lang w:val="hu-HU"/>
        </w:rPr>
        <w:t>.</w:t>
      </w:r>
    </w:p>
    <w:p w:rsidR="00C17184" w:rsidRPr="00023853" w:rsidRDefault="00C17184" w:rsidP="00C17184">
      <w:pPr>
        <w:pStyle w:val="5Normal"/>
        <w:rPr>
          <w:sz w:val="20"/>
        </w:rPr>
      </w:pPr>
      <w:r w:rsidRPr="00023853">
        <w:rPr>
          <w:i/>
          <w:sz w:val="20"/>
          <w:lang w:val="hu-HU"/>
        </w:rPr>
        <w:t>„A vizsgálat során bebizonyosodott, hogy a MOL a versenytársakénál alacsonyabb bányajáradékok fizetésével pénzügyi előnyhöz jutott.</w:t>
      </w:r>
      <w:r w:rsidRPr="00023853">
        <w:rPr>
          <w:i/>
          <w:sz w:val="20"/>
        </w:rPr>
        <w:t xml:space="preserve"> </w:t>
      </w:r>
      <w:r w:rsidRPr="00023853">
        <w:rPr>
          <w:i/>
          <w:sz w:val="20"/>
          <w:lang w:val="hu-HU"/>
        </w:rPr>
        <w:t>Ez egyértelműen diszkriminatív támogatást jelent, amely az uniós szabályok szerint nem engedhető meg”</w:t>
      </w:r>
      <w:r w:rsidRPr="00023853">
        <w:rPr>
          <w:sz w:val="20"/>
          <w:lang w:val="hu-HU"/>
        </w:rPr>
        <w:t xml:space="preserve"> – mondta Joaquín Almunia, a Bizottság alelnöke és versenypolitikai biztosa.</w:t>
      </w:r>
    </w:p>
    <w:p w:rsidR="00C17184" w:rsidRPr="00023853" w:rsidRDefault="00C17184" w:rsidP="00C17184">
      <w:pPr>
        <w:pStyle w:val="5Normal"/>
        <w:rPr>
          <w:sz w:val="20"/>
        </w:rPr>
      </w:pPr>
      <w:bookmarkStart w:id="0" w:name="_Hlt263691508"/>
      <w:bookmarkStart w:id="1" w:name="_Hlt263691509"/>
      <w:bookmarkStart w:id="2" w:name="_Hlt263691510"/>
      <w:bookmarkStart w:id="3" w:name="_Hlt263691511"/>
      <w:bookmarkStart w:id="4" w:name="_Hlt263691573"/>
      <w:bookmarkStart w:id="5" w:name="_Hlt263691574"/>
      <w:bookmarkStart w:id="6" w:name="_Hlt263692617"/>
      <w:bookmarkStart w:id="7" w:name="_Hlt263692618"/>
      <w:r w:rsidRPr="00023853">
        <w:rPr>
          <w:sz w:val="20"/>
          <w:lang w:val="hu-HU"/>
        </w:rPr>
        <w:t>A Bizottság 2009 januárjában indított mélyreható vizsgálatot a Magyarország által a MOL Magyar Olaj- és Gázipari Nyrt. javára hozott vélelmezett állami támogatási intézkedéssel kapcsolatban.</w:t>
      </w:r>
      <w:r w:rsidRPr="00023853">
        <w:rPr>
          <w:sz w:val="20"/>
        </w:rPr>
        <w:t xml:space="preserve"> </w:t>
      </w:r>
      <w:r w:rsidRPr="00023853">
        <w:rPr>
          <w:sz w:val="20"/>
          <w:lang w:val="hu-HU"/>
        </w:rPr>
        <w:t>A vizsgált intézkedés a magyar kormány MOL-lal kötött 2005-ös megállapodása volt, amely meghatározta, hogy a MOL-nak az általa kitermelt szénhidrogének után 2020-ig a szénhidrogénmezők többségén változatlan összegű bányajáradékot kell fizetnie.</w:t>
      </w:r>
      <w:r w:rsidRPr="00023853">
        <w:rPr>
          <w:sz w:val="20"/>
        </w:rPr>
        <w:t xml:space="preserve"> </w:t>
      </w:r>
      <w:r w:rsidRPr="00023853">
        <w:rPr>
          <w:sz w:val="20"/>
          <w:lang w:val="hu-HU"/>
        </w:rPr>
        <w:t>2008 elején azután módosult a magyar bányászati törvény, amivel a járadékok jelentős mértékben megemelkedtek, miközben a MOL bányajáradéka továbbra is a 2005-ös megállapodásban meghatározott alacsony szinten maradt.</w:t>
      </w:r>
    </w:p>
    <w:bookmarkEnd w:id="0"/>
    <w:bookmarkEnd w:id="1"/>
    <w:bookmarkEnd w:id="2"/>
    <w:bookmarkEnd w:id="3"/>
    <w:bookmarkEnd w:id="4"/>
    <w:bookmarkEnd w:id="5"/>
    <w:bookmarkEnd w:id="6"/>
    <w:bookmarkEnd w:id="7"/>
    <w:p w:rsidR="00C17184" w:rsidRPr="00023853" w:rsidRDefault="00C17184" w:rsidP="00C17184">
      <w:pPr>
        <w:pStyle w:val="5Normal"/>
        <w:rPr>
          <w:sz w:val="20"/>
          <w:lang w:val="hu-HU"/>
        </w:rPr>
      </w:pPr>
      <w:r w:rsidRPr="00023853">
        <w:rPr>
          <w:sz w:val="20"/>
          <w:lang w:val="hu-HU"/>
        </w:rPr>
        <w:t xml:space="preserve">A vizsgálat során lehetőséget kapott nézetei kifejtésére a magyar kormány és valamennyi érintett fél. A vizsgálat lezárultával a Bizottság megállapította, hogy a MOL-nak nyújtott pénzügyi előny működési támogatásnak minősül, ezért nem hagyható jóvá az uniós állami támogatási szabályok értelmében. A magyar hatóságok számításai szerint a MOL ily módon mintegy 30,3 milliárd forint (112 millió euró) </w:t>
      </w:r>
      <w:r w:rsidRPr="00023853">
        <w:rPr>
          <w:sz w:val="20"/>
          <w:lang w:val="hu-HU"/>
        </w:rPr>
        <w:lastRenderedPageBreak/>
        <w:t>támogatást kapott, amelyet a Bizottság határozata szerint kamatokkal megnövelve köteles visszafizetni az államnak.</w:t>
      </w:r>
    </w:p>
    <w:p w:rsidR="00C17184" w:rsidRPr="00023853" w:rsidRDefault="00C17184" w:rsidP="00C17184">
      <w:pPr>
        <w:pStyle w:val="5Normal"/>
        <w:rPr>
          <w:sz w:val="20"/>
          <w:lang w:val="hu-HU"/>
        </w:rPr>
      </w:pPr>
      <w:bookmarkStart w:id="8" w:name="_Hlt263671851"/>
      <w:bookmarkStart w:id="9" w:name="_Hlt263671852"/>
      <w:bookmarkStart w:id="10" w:name="_Hlt263671824"/>
      <w:bookmarkStart w:id="11" w:name="_Hlt263671825"/>
      <w:bookmarkStart w:id="12" w:name="_Hlt263671826"/>
      <w:bookmarkStart w:id="13" w:name="_Hlt263671827"/>
      <w:bookmarkStart w:id="14" w:name="_Hlt263671722"/>
      <w:bookmarkStart w:id="15" w:name="_Hlt263671723"/>
      <w:bookmarkStart w:id="16" w:name="_Hlt263671724"/>
      <w:r w:rsidRPr="00023853">
        <w:rPr>
          <w:sz w:val="20"/>
          <w:lang w:val="hu-HU"/>
        </w:rPr>
        <w:t>A versenypolitika egyik alapvető eleme az állami támogatások uniós szintű ellenőrzése, ami egyenlő versenyfeltételeket biztosít az európai vállalkozások számára. Egyúttal megakadályozza, hogy pazarló támogatási versengés alakuljon ki, ami az egyes tagállamok számára fenntarthatatlan, és az EU egésze számára káros.</w:t>
      </w:r>
    </w:p>
    <w:bookmarkEnd w:id="8"/>
    <w:bookmarkEnd w:id="9"/>
    <w:bookmarkEnd w:id="10"/>
    <w:bookmarkEnd w:id="11"/>
    <w:bookmarkEnd w:id="12"/>
    <w:bookmarkEnd w:id="13"/>
    <w:bookmarkEnd w:id="14"/>
    <w:bookmarkEnd w:id="15"/>
    <w:bookmarkEnd w:id="16"/>
    <w:p w:rsidR="00C17184" w:rsidRPr="00023853" w:rsidRDefault="00C17184" w:rsidP="00C17184">
      <w:pPr>
        <w:pStyle w:val="5Normal"/>
        <w:rPr>
          <w:sz w:val="20"/>
        </w:rPr>
      </w:pPr>
      <w:r w:rsidRPr="00023853">
        <w:rPr>
          <w:sz w:val="20"/>
          <w:lang w:val="hu-HU"/>
        </w:rPr>
        <w:t>A Bizottság arra ösztönzi a tagállamokat és a régiókat, hogy kezeljék kiemelten a gazdaságuk versenyképességére, valamint a szociális és regionális kohézió fokozására irányuló intézkedéseket.</w:t>
      </w:r>
      <w:r w:rsidRPr="00023853">
        <w:rPr>
          <w:sz w:val="20"/>
        </w:rPr>
        <w:t xml:space="preserve"> </w:t>
      </w:r>
      <w:r w:rsidRPr="00023853">
        <w:rPr>
          <w:sz w:val="20"/>
          <w:lang w:val="hu-HU"/>
        </w:rPr>
        <w:t>Az uniós szabályok értelmében – amelyek egyértelműek és mindenki számára nyilvánosak – az engedélyezhető támogatások között vannak többek között a kutatásra, fejlesztésre és innovációs projektekre, a képzésre, a megújuló energiára és a környezetvédelemre fordított állami támogatások.</w:t>
      </w:r>
      <w:r w:rsidRPr="00023853">
        <w:rPr>
          <w:sz w:val="20"/>
        </w:rPr>
        <w:t xml:space="preserve"> </w:t>
      </w:r>
      <w:r w:rsidRPr="00023853">
        <w:rPr>
          <w:sz w:val="20"/>
          <w:lang w:val="hu-HU"/>
        </w:rPr>
        <w:t>Erről bővebb tájékoztatás található az állami támogatásokról szóló közösségi jogról szóló vademecumban:</w:t>
      </w:r>
    </w:p>
    <w:p w:rsidR="00C17184" w:rsidRPr="00023853" w:rsidRDefault="00273FD6" w:rsidP="00C17184">
      <w:pPr>
        <w:pStyle w:val="5Normal"/>
        <w:rPr>
          <w:color w:val="0000FF"/>
          <w:sz w:val="20"/>
        </w:rPr>
      </w:pPr>
      <w:hyperlink r:id="rId7" w:history="1">
        <w:r w:rsidR="00C17184" w:rsidRPr="00023853">
          <w:rPr>
            <w:rStyle w:val="Hiperhivatkozs"/>
            <w:sz w:val="20"/>
            <w:lang w:val="hu-HU"/>
          </w:rPr>
          <w:t>http://ec.europa.eu/competition/state_aid/studies_reports/vademecum_on_rules_09_2008_hu.pdf</w:t>
        </w:r>
      </w:hyperlink>
    </w:p>
    <w:p w:rsidR="00C17184" w:rsidRDefault="00C17184" w:rsidP="00C17184">
      <w:pPr>
        <w:pStyle w:val="5Normal"/>
        <w:rPr>
          <w:szCs w:val="24"/>
        </w:rPr>
      </w:pPr>
      <w:r w:rsidRPr="00023853">
        <w:rPr>
          <w:sz w:val="20"/>
          <w:lang w:val="hu-HU"/>
        </w:rPr>
        <w:t xml:space="preserve">Az esetleges bizalmas adatokkal kapcsolatos kérdések rendezése után a határozat bizalmas adatokat nem tartalmazó változatát </w:t>
      </w:r>
      <w:hyperlink r:id="rId8" w:history="1">
        <w:r w:rsidRPr="00023853">
          <w:rPr>
            <w:rStyle w:val="Hiperhivatkozs"/>
            <w:sz w:val="20"/>
            <w:lang w:val="hu-HU"/>
          </w:rPr>
          <w:t>C 1/2009</w:t>
        </w:r>
      </w:hyperlink>
      <w:r w:rsidRPr="00023853">
        <w:rPr>
          <w:sz w:val="20"/>
          <w:lang w:val="hu-HU"/>
        </w:rPr>
        <w:t xml:space="preserve"> ügyszám alatt teszik majd közzé az állami támogatásoknak a </w:t>
      </w:r>
      <w:hyperlink r:id="rId9" w:history="1">
        <w:r w:rsidRPr="00023853">
          <w:rPr>
            <w:color w:val="0000FF"/>
            <w:sz w:val="20"/>
            <w:u w:val="single"/>
            <w:lang w:val="hu-HU"/>
          </w:rPr>
          <w:t>Versenypolitikai Főigazgatóság</w:t>
        </w:r>
      </w:hyperlink>
      <w:r w:rsidRPr="00023853">
        <w:rPr>
          <w:sz w:val="20"/>
          <w:lang w:val="hu-HU"/>
        </w:rPr>
        <w:t xml:space="preserve"> honlapján található nyilvántartásában (</w:t>
      </w:r>
      <w:hyperlink r:id="rId10" w:history="1">
        <w:r w:rsidRPr="00023853">
          <w:rPr>
            <w:color w:val="0000FF"/>
            <w:sz w:val="20"/>
            <w:u w:val="single"/>
            <w:lang w:val="hu-HU"/>
          </w:rPr>
          <w:t>State Aid Register</w:t>
        </w:r>
      </w:hyperlink>
      <w:r w:rsidRPr="00023853">
        <w:rPr>
          <w:sz w:val="20"/>
          <w:lang w:val="hu-HU"/>
        </w:rPr>
        <w:t>).</w:t>
      </w:r>
      <w:r w:rsidRPr="00023853">
        <w:rPr>
          <w:sz w:val="20"/>
        </w:rPr>
        <w:t xml:space="preserve"> </w:t>
      </w:r>
      <w:r w:rsidRPr="00023853">
        <w:rPr>
          <w:sz w:val="20"/>
          <w:lang w:val="hu-HU"/>
        </w:rPr>
        <w:t xml:space="preserve">Az állami támogatásokkal kapcsolatban az interneten és a Hivatalos Lapban közzétett legfrissebb határozatok jegyzéke megtalálható a </w:t>
      </w:r>
      <w:hyperlink r:id="rId11" w:history="1">
        <w:r w:rsidRPr="00023853">
          <w:rPr>
            <w:color w:val="0000FF"/>
            <w:sz w:val="20"/>
            <w:u w:val="single"/>
            <w:lang w:val="hu-HU"/>
          </w:rPr>
          <w:t>State Aid Weekly e-News</w:t>
        </w:r>
      </w:hyperlink>
      <w:r w:rsidRPr="00023853">
        <w:rPr>
          <w:sz w:val="20"/>
          <w:lang w:val="hu-HU"/>
        </w:rPr>
        <w:t xml:space="preserve"> internetes</w:t>
      </w:r>
      <w:r>
        <w:rPr>
          <w:szCs w:val="24"/>
          <w:lang w:val="hu-HU"/>
        </w:rPr>
        <w:t xml:space="preserve"> </w:t>
      </w:r>
      <w:r w:rsidRPr="00023853">
        <w:rPr>
          <w:sz w:val="20"/>
          <w:lang w:val="hu-HU"/>
        </w:rPr>
        <w:t>hírlevélben</w:t>
      </w:r>
      <w:r>
        <w:rPr>
          <w:szCs w:val="24"/>
          <w:lang w:val="hu-HU"/>
        </w:rPr>
        <w:t>.</w:t>
      </w:r>
    </w:p>
    <w:p w:rsidR="00C17184" w:rsidRDefault="00023853" w:rsidP="00023853">
      <w:pPr>
        <w:tabs>
          <w:tab w:val="left" w:pos="5490"/>
        </w:tabs>
      </w:pPr>
      <w:r>
        <w:tab/>
      </w:r>
    </w:p>
    <w:p w:rsidR="00C17184" w:rsidRDefault="00C17184" w:rsidP="00023853">
      <w:pPr>
        <w:pStyle w:val="3Titre"/>
      </w:pPr>
      <w:r>
        <w:t xml:space="preserve">A Bizottság célja a szakképzés ösztönzése </w:t>
      </w:r>
    </w:p>
    <w:p w:rsidR="00C17184" w:rsidRDefault="00C17184" w:rsidP="00023853">
      <w:pPr>
        <w:pStyle w:val="4Chapeau"/>
        <w:spacing w:before="120" w:after="120"/>
        <w:rPr>
          <w:szCs w:val="24"/>
        </w:rPr>
      </w:pPr>
      <w:r w:rsidRPr="00964E64">
        <w:rPr>
          <w:sz w:val="20"/>
          <w:lang w:val="hu-HU"/>
        </w:rPr>
        <w:t>Az Európai Bizottság a mai napon ismertette új elképzeléseit a szakképzés jövőjéről.</w:t>
      </w:r>
      <w:r w:rsidRPr="00964E64">
        <w:rPr>
          <w:sz w:val="20"/>
        </w:rPr>
        <w:t xml:space="preserve"> </w:t>
      </w:r>
      <w:r w:rsidRPr="00964E64">
        <w:rPr>
          <w:sz w:val="20"/>
          <w:lang w:val="hu-HU"/>
        </w:rPr>
        <w:t>A felső középfokú oktatásban részt vevő diákok átlagosan 50%-a választja a szakképzést.</w:t>
      </w:r>
      <w:r w:rsidRPr="00964E64">
        <w:rPr>
          <w:sz w:val="20"/>
        </w:rPr>
        <w:t xml:space="preserve"> </w:t>
      </w:r>
      <w:r w:rsidRPr="00964E64">
        <w:rPr>
          <w:sz w:val="20"/>
          <w:lang w:val="hu-HU"/>
        </w:rPr>
        <w:t>Mindemellett modernizálni kell ezt a képzési ágazatot, vonzóbb, és magas színvonalat kínáló lehetőséggé kell alakítani, hogy a szükséges ismeretek átadásával segítse a fiatalok megfelelő elhelyezkedését, a felnőtteknek pedig lehetőséget kínáljon arra, hogy tudásukat naprakésszé tehessék pályafutásuk egésze alatt.</w:t>
      </w:r>
      <w:r w:rsidRPr="00964E64">
        <w:rPr>
          <w:sz w:val="20"/>
        </w:rPr>
        <w:t xml:space="preserve"> </w:t>
      </w:r>
      <w:r w:rsidRPr="00964E64">
        <w:rPr>
          <w:sz w:val="20"/>
          <w:lang w:val="hu-HU"/>
        </w:rPr>
        <w:t>A Bizottság célja ezért az, hogy egyre többeket ösztönözzön szakképzésben való részvételre, javítsa a képzéskínálat minőségét, valamint megkönnyítse a munkahelyek, illetve (munkavállaló) országok közti mozgást.</w:t>
      </w:r>
      <w:r w:rsidRPr="00964E64">
        <w:rPr>
          <w:sz w:val="20"/>
        </w:rPr>
        <w:t xml:space="preserve"> </w:t>
      </w:r>
      <w:r w:rsidRPr="00964E64">
        <w:rPr>
          <w:sz w:val="20"/>
          <w:lang w:val="hu-HU"/>
        </w:rPr>
        <w:t>Az uniós miniszterek a tervet várhatóan ez év második felében fogják megvitatni, illetve</w:t>
      </w:r>
      <w:r>
        <w:rPr>
          <w:szCs w:val="24"/>
          <w:lang w:val="hu-HU"/>
        </w:rPr>
        <w:t xml:space="preserve"> </w:t>
      </w:r>
      <w:r w:rsidRPr="00964E64">
        <w:rPr>
          <w:sz w:val="20"/>
          <w:lang w:val="hu-HU"/>
        </w:rPr>
        <w:t>elfogadni</w:t>
      </w:r>
      <w:r>
        <w:rPr>
          <w:szCs w:val="24"/>
          <w:lang w:val="hu-HU"/>
        </w:rPr>
        <w:t>.</w:t>
      </w:r>
    </w:p>
    <w:p w:rsidR="00C17184" w:rsidRPr="00964E64" w:rsidRDefault="00C17184" w:rsidP="00C17184">
      <w:pPr>
        <w:pStyle w:val="5Normal"/>
        <w:rPr>
          <w:sz w:val="20"/>
        </w:rPr>
      </w:pPr>
      <w:r w:rsidRPr="00964E64">
        <w:rPr>
          <w:sz w:val="20"/>
          <w:lang w:val="hu-HU"/>
        </w:rPr>
        <w:t>Androulla Vassiliou, az oktatásügyért, kultúráért, többnyelvűségért és ifjúságpolitikáért felelős európai biztos a következőket nyilatkozta:</w:t>
      </w:r>
      <w:r w:rsidRPr="00964E64">
        <w:rPr>
          <w:sz w:val="20"/>
        </w:rPr>
        <w:t xml:space="preserve"> </w:t>
      </w:r>
      <w:r w:rsidRPr="00964E64">
        <w:rPr>
          <w:sz w:val="20"/>
          <w:lang w:val="hu-HU"/>
        </w:rPr>
        <w:t>„</w:t>
      </w:r>
      <w:r w:rsidRPr="00964E64">
        <w:rPr>
          <w:i/>
          <w:sz w:val="20"/>
          <w:lang w:val="hu-HU"/>
        </w:rPr>
        <w:t>Változtatni akarunk a szakképzésről kialkotott képen Európában, és napjaink elvárásaihoz kívánjuk igazítani</w:t>
      </w:r>
      <w:r w:rsidRPr="00964E64">
        <w:rPr>
          <w:sz w:val="20"/>
          <w:lang w:val="hu-HU"/>
        </w:rPr>
        <w:t>.</w:t>
      </w:r>
      <w:r w:rsidRPr="00964E64">
        <w:rPr>
          <w:i/>
          <w:sz w:val="20"/>
        </w:rPr>
        <w:t xml:space="preserve"> </w:t>
      </w:r>
      <w:r w:rsidRPr="00964E64">
        <w:rPr>
          <w:i/>
          <w:sz w:val="20"/>
          <w:lang w:val="hu-HU"/>
        </w:rPr>
        <w:t>A szakképzés lényeges összekötő elem az oktatás és a munka világa között.</w:t>
      </w:r>
      <w:r w:rsidRPr="00964E64">
        <w:rPr>
          <w:i/>
          <w:sz w:val="20"/>
        </w:rPr>
        <w:t xml:space="preserve"> </w:t>
      </w:r>
      <w:r w:rsidR="00964E64" w:rsidRPr="00964E64">
        <w:rPr>
          <w:i/>
          <w:sz w:val="20"/>
          <w:lang w:val="hu-HU"/>
        </w:rPr>
        <w:t>A jelenlegi gazdasági</w:t>
      </w:r>
      <w:r w:rsidRPr="00964E64">
        <w:rPr>
          <w:i/>
          <w:sz w:val="20"/>
          <w:lang w:val="hu-HU"/>
        </w:rPr>
        <w:t xml:space="preserve"> helyzetben minden eddigi</w:t>
      </w:r>
      <w:r w:rsidR="00964E64" w:rsidRPr="00964E64">
        <w:rPr>
          <w:i/>
          <w:sz w:val="20"/>
          <w:lang w:val="hu-HU"/>
        </w:rPr>
        <w:t xml:space="preserve">nél fontosabb, </w:t>
      </w:r>
      <w:r w:rsidRPr="00964E64">
        <w:rPr>
          <w:i/>
          <w:sz w:val="20"/>
          <w:lang w:val="hu-HU"/>
        </w:rPr>
        <w:t>hogy egyesült erővel vonzóbbá tegyük a szakképzés lehetőségét a képzésben résztvevők, a diákok, és minden, tudását fejleszteni kívánó személy számára.”</w:t>
      </w:r>
      <w:r w:rsidRPr="00964E64">
        <w:rPr>
          <w:sz w:val="20"/>
        </w:rPr>
        <w:t xml:space="preserve"> </w:t>
      </w:r>
    </w:p>
    <w:p w:rsidR="00C17184" w:rsidRPr="00964E64" w:rsidRDefault="00C17184" w:rsidP="00964E64">
      <w:pPr>
        <w:pStyle w:val="Sous-titre1"/>
      </w:pPr>
      <w:r w:rsidRPr="00964E64">
        <w:t>Új lendület az európai együttműködéshez</w:t>
      </w:r>
    </w:p>
    <w:p w:rsidR="00C17184" w:rsidRPr="00964E64" w:rsidRDefault="00C17184" w:rsidP="00C17184">
      <w:pPr>
        <w:pStyle w:val="5Normal"/>
        <w:rPr>
          <w:sz w:val="20"/>
        </w:rPr>
      </w:pPr>
      <w:r w:rsidRPr="00964E64">
        <w:rPr>
          <w:sz w:val="20"/>
          <w:lang w:val="hu-HU"/>
        </w:rPr>
        <w:t>A Bizottság ma elfogadott tervei a szakképzés ösztönzésére több lehetséges utat is felvázolnak.</w:t>
      </w:r>
      <w:r w:rsidRPr="00964E64">
        <w:rPr>
          <w:sz w:val="20"/>
        </w:rPr>
        <w:t xml:space="preserve"> </w:t>
      </w:r>
      <w:r w:rsidRPr="00964E64">
        <w:rPr>
          <w:sz w:val="20"/>
          <w:lang w:val="hu-HU"/>
        </w:rPr>
        <w:t>Ezek a következők:</w:t>
      </w:r>
      <w:r w:rsidRPr="00964E64">
        <w:rPr>
          <w:sz w:val="20"/>
        </w:rPr>
        <w:t xml:space="preserve"> </w:t>
      </w:r>
    </w:p>
    <w:p w:rsidR="00C17184" w:rsidRPr="00964E64" w:rsidRDefault="00C17184" w:rsidP="00C17184">
      <w:pPr>
        <w:pStyle w:val="Tiret1"/>
        <w:numPr>
          <w:ilvl w:val="0"/>
          <w:numId w:val="6"/>
        </w:numPr>
        <w:tabs>
          <w:tab w:val="clear" w:pos="284"/>
          <w:tab w:val="left" w:pos="426"/>
        </w:tabs>
        <w:rPr>
          <w:sz w:val="20"/>
        </w:rPr>
      </w:pPr>
      <w:r w:rsidRPr="00964E64">
        <w:rPr>
          <w:sz w:val="20"/>
        </w:rPr>
        <w:t>Rugalmasabb és nyitottabb hozzáférés a képzéshez és a képzettségek megszerzéséhez az élet valamennyi szakaszában.</w:t>
      </w:r>
    </w:p>
    <w:p w:rsidR="00C17184" w:rsidRPr="00964E64" w:rsidRDefault="00C17184" w:rsidP="00C17184">
      <w:pPr>
        <w:pStyle w:val="Tiret1"/>
        <w:numPr>
          <w:ilvl w:val="0"/>
          <w:numId w:val="6"/>
        </w:numPr>
        <w:tabs>
          <w:tab w:val="clear" w:pos="284"/>
          <w:tab w:val="left" w:pos="426"/>
        </w:tabs>
        <w:rPr>
          <w:sz w:val="20"/>
        </w:rPr>
      </w:pPr>
      <w:r w:rsidRPr="00964E64">
        <w:rPr>
          <w:sz w:val="20"/>
        </w:rPr>
        <w:t>A mobilitás előmozdítása a külföldi vagy más ágazatban szerezhető tapasztalatszerzés megkönnyítésére</w:t>
      </w:r>
    </w:p>
    <w:p w:rsidR="00C17184" w:rsidRPr="00964E64" w:rsidRDefault="00C17184" w:rsidP="00C17184">
      <w:pPr>
        <w:pStyle w:val="Tiret1"/>
        <w:numPr>
          <w:ilvl w:val="0"/>
          <w:numId w:val="6"/>
        </w:numPr>
        <w:tabs>
          <w:tab w:val="clear" w:pos="284"/>
          <w:tab w:val="left" w:pos="426"/>
        </w:tabs>
        <w:rPr>
          <w:sz w:val="20"/>
        </w:rPr>
      </w:pPr>
      <w:r w:rsidRPr="00964E64">
        <w:rPr>
          <w:sz w:val="20"/>
        </w:rPr>
        <w:t xml:space="preserve">A lehető legmagasabb minőségű szakképzés biztosítása </w:t>
      </w:r>
    </w:p>
    <w:p w:rsidR="00C17184" w:rsidRPr="00964E64" w:rsidRDefault="00C17184" w:rsidP="00C17184">
      <w:pPr>
        <w:pStyle w:val="Tiret1"/>
        <w:numPr>
          <w:ilvl w:val="0"/>
          <w:numId w:val="6"/>
        </w:numPr>
        <w:tabs>
          <w:tab w:val="clear" w:pos="284"/>
          <w:tab w:val="left" w:pos="426"/>
        </w:tabs>
        <w:rPr>
          <w:sz w:val="20"/>
        </w:rPr>
      </w:pPr>
      <w:r w:rsidRPr="00964E64">
        <w:rPr>
          <w:sz w:val="20"/>
        </w:rPr>
        <w:t xml:space="preserve">Több lehetőség a hátrányos helyzetű csoportok, így az iskolarendszerből kimaradók, az  alacsony képzettségűek, a munkanélküliek, a migráns háttérrel rendelkezők és a fogyatékkal élők számára </w:t>
      </w:r>
    </w:p>
    <w:p w:rsidR="00C17184" w:rsidRPr="00964E64" w:rsidRDefault="00C17184" w:rsidP="00C17184">
      <w:pPr>
        <w:pStyle w:val="Tiret1"/>
        <w:numPr>
          <w:ilvl w:val="0"/>
          <w:numId w:val="6"/>
        </w:numPr>
        <w:tabs>
          <w:tab w:val="clear" w:pos="284"/>
          <w:tab w:val="left" w:pos="426"/>
        </w:tabs>
        <w:rPr>
          <w:sz w:val="20"/>
        </w:rPr>
      </w:pPr>
      <w:r w:rsidRPr="00964E64">
        <w:rPr>
          <w:sz w:val="20"/>
        </w:rPr>
        <w:t>A kreatív és innovatív gondolkodásmód, valamint  a vállalkozó szellem ösztönzése a diákok körében.</w:t>
      </w:r>
    </w:p>
    <w:p w:rsidR="00C17184" w:rsidRPr="00964E64" w:rsidRDefault="00C17184" w:rsidP="00964E64">
      <w:pPr>
        <w:pStyle w:val="Sous-titre1"/>
      </w:pPr>
      <w:r w:rsidRPr="00964E64">
        <w:t>Tíz éves terv</w:t>
      </w:r>
    </w:p>
    <w:p w:rsidR="00C17184" w:rsidRPr="00964E64" w:rsidRDefault="00C17184" w:rsidP="00C17184">
      <w:pPr>
        <w:pStyle w:val="5Normal"/>
        <w:rPr>
          <w:sz w:val="20"/>
        </w:rPr>
      </w:pPr>
      <w:r w:rsidRPr="00964E64">
        <w:rPr>
          <w:sz w:val="20"/>
          <w:lang w:val="hu-HU"/>
        </w:rPr>
        <w:t xml:space="preserve">A Bizottság ezen tervei az „Európa 2020” stratégia célkitűzéseire, az intelligens és minden társadalmi réteg számára előnyöket biztosító növekedésre épülnek, továbbá kapcsolódnak a hamarosan induló </w:t>
      </w:r>
      <w:r w:rsidRPr="00964E64">
        <w:rPr>
          <w:sz w:val="20"/>
          <w:lang w:val="hu-HU"/>
        </w:rPr>
        <w:lastRenderedPageBreak/>
        <w:t>„Mozgásban az ifjúság” kezdeményezéshez is, amely támogatni kívánja a minél szélesebb körű továbbtanulási és mobilitási lehetőségeket valamennyi fiatal számára.</w:t>
      </w:r>
      <w:r w:rsidRPr="00964E64">
        <w:rPr>
          <w:sz w:val="20"/>
        </w:rPr>
        <w:t xml:space="preserve"> </w:t>
      </w:r>
    </w:p>
    <w:p w:rsidR="00C17184" w:rsidRPr="00964E64" w:rsidRDefault="00C17184" w:rsidP="00C17184">
      <w:pPr>
        <w:pStyle w:val="5Normal"/>
        <w:rPr>
          <w:sz w:val="20"/>
        </w:rPr>
      </w:pPr>
      <w:r w:rsidRPr="00964E64">
        <w:rPr>
          <w:sz w:val="20"/>
          <w:lang w:val="hu-HU"/>
        </w:rPr>
        <w:t>Ezek a tervek kifejezői annak, hogy a Bizottság miként kíván hozzájárulni az európai szakképzési együttműködést megerősítendő koppenhágai folyamat keretében létrehozandó új, tíz éves reformprogramhoz.</w:t>
      </w:r>
      <w:r w:rsidRPr="00964E64">
        <w:rPr>
          <w:sz w:val="20"/>
        </w:rPr>
        <w:t xml:space="preserve"> </w:t>
      </w:r>
      <w:r w:rsidRPr="00964E64">
        <w:rPr>
          <w:sz w:val="20"/>
          <w:lang w:val="hu-HU"/>
        </w:rPr>
        <w:t>Decemberben találkozóra kerül sor Vassiliou biztos asszony, az uniós szakképzési miniszterek, valamint a munkáltatói szervezetek és szakszervezetek képviselői között a belgiumi Bruges-ben, melynek célja, hogy ambíciózus modernizációs menetrendet alakítsanak ki az elkövetkező tíz évre, valamint megfogalmazzanak rövid távú, folyamatosan felülvizsgálandó célkitűzéseket is.</w:t>
      </w:r>
    </w:p>
    <w:p w:rsidR="00C17184" w:rsidRDefault="00C17184" w:rsidP="00C17184">
      <w:pPr>
        <w:pStyle w:val="5Normal"/>
        <w:rPr>
          <w:szCs w:val="24"/>
        </w:rPr>
      </w:pPr>
      <w:r w:rsidRPr="00964E64">
        <w:rPr>
          <w:sz w:val="20"/>
          <w:lang w:val="hu-HU"/>
        </w:rPr>
        <w:t>Az európai szakképzési együttműködés megerősítésére irányuló koppenhágai folyamat 2002-ben indult, és két évente felülvizsgálják.</w:t>
      </w:r>
      <w:r w:rsidRPr="00964E64">
        <w:rPr>
          <w:sz w:val="20"/>
        </w:rPr>
        <w:t xml:space="preserve">  </w:t>
      </w:r>
      <w:r w:rsidRPr="00964E64">
        <w:rPr>
          <w:sz w:val="20"/>
          <w:lang w:val="hu-HU"/>
        </w:rPr>
        <w:t>Olyan közös értékelési megközelítési mód kialakítását szorgalmazza, amely nem a tanulmányok hosszát vagy az intézménytípusokat veszi alapul, hanem az</w:t>
      </w:r>
      <w:r>
        <w:rPr>
          <w:szCs w:val="24"/>
          <w:lang w:val="hu-HU"/>
        </w:rPr>
        <w:t xml:space="preserve"> </w:t>
      </w:r>
      <w:r w:rsidRPr="00964E64">
        <w:rPr>
          <w:sz w:val="20"/>
          <w:lang w:val="hu-HU"/>
        </w:rPr>
        <w:t>eredményeket</w:t>
      </w:r>
      <w:r>
        <w:rPr>
          <w:szCs w:val="24"/>
          <w:lang w:val="hu-HU"/>
        </w:rPr>
        <w:t>.</w:t>
      </w:r>
      <w:r>
        <w:rPr>
          <w:szCs w:val="24"/>
        </w:rPr>
        <w:t xml:space="preserve"> </w:t>
      </w:r>
    </w:p>
    <w:p w:rsidR="00C17184" w:rsidRDefault="00C17184"/>
    <w:p w:rsidR="00C17184" w:rsidRDefault="00C17184"/>
    <w:p w:rsidR="00DD0E24" w:rsidRDefault="00DD0E24" w:rsidP="00023853">
      <w:pPr>
        <w:pStyle w:val="3Titre"/>
      </w:pPr>
      <w:r>
        <w:t xml:space="preserve">A Bizottság létrehozza a fenntartható bioüzemanyagokra vonatkozó tanúsítási rendszert </w:t>
      </w:r>
    </w:p>
    <w:p w:rsidR="00DD0E24" w:rsidRPr="00964E64" w:rsidRDefault="00DD0E24" w:rsidP="00964E64">
      <w:pPr>
        <w:pStyle w:val="Sous-titre1"/>
        <w:rPr>
          <w:lang w:val="en-IE"/>
        </w:rPr>
      </w:pPr>
      <w:r w:rsidRPr="00964E64">
        <w:t>Mik azok a bioüzemanyagok?</w:t>
      </w:r>
      <w:r w:rsidRPr="00964E64">
        <w:rPr>
          <w:lang w:val="en-IE"/>
        </w:rPr>
        <w:t xml:space="preserve"> </w:t>
      </w:r>
    </w:p>
    <w:p w:rsidR="00DD0E24" w:rsidRDefault="00DD0E24" w:rsidP="00DD0E24">
      <w:pPr>
        <w:pStyle w:val="5Normal"/>
        <w:rPr>
          <w:szCs w:val="24"/>
        </w:rPr>
      </w:pPr>
      <w:r>
        <w:rPr>
          <w:szCs w:val="24"/>
          <w:lang w:val="hu-HU"/>
        </w:rPr>
        <w:t>A bioüzemanyagok a közlekedésben használt, biomasszából előállított üzemanyagok.</w:t>
      </w:r>
      <w:r>
        <w:rPr>
          <w:szCs w:val="24"/>
        </w:rPr>
        <w:t xml:space="preserve"> </w:t>
      </w:r>
      <w:r>
        <w:rPr>
          <w:szCs w:val="24"/>
          <w:lang w:val="hu-HU"/>
        </w:rPr>
        <w:t>Napjainkban a legfontosabb bioüzemanyag a (cukorból, illetve gabonanövényekből előállított és</w:t>
      </w:r>
      <w:r>
        <w:rPr>
          <w:szCs w:val="24"/>
        </w:rPr>
        <w:t xml:space="preserve"> </w:t>
      </w:r>
      <w:r>
        <w:rPr>
          <w:szCs w:val="24"/>
          <w:lang w:val="hu-HU"/>
        </w:rPr>
        <w:t xml:space="preserve">a benzin helyettesítésére használt) bioetanol, valamint a (főként növényi olajokból készülő, </w:t>
      </w:r>
      <w:r>
        <w:rPr>
          <w:szCs w:val="24"/>
        </w:rPr>
        <w:t xml:space="preserve"> </w:t>
      </w:r>
      <w:r>
        <w:rPr>
          <w:szCs w:val="24"/>
          <w:lang w:val="hu-HU"/>
        </w:rPr>
        <w:t>a dízelt helyettesítő) biodízel.</w:t>
      </w:r>
      <w:r>
        <w:rPr>
          <w:szCs w:val="24"/>
        </w:rPr>
        <w:t xml:space="preserve"> </w:t>
      </w:r>
      <w:r>
        <w:rPr>
          <w:szCs w:val="24"/>
          <w:lang w:val="hu-HU"/>
        </w:rPr>
        <w:t>2008-ban a közlekedésben használt üzemanyagok 3,4%-a volt bioüzemanyag, míg öt évvel korábban ez az arány csupán 0,5% volt.</w:t>
      </w:r>
    </w:p>
    <w:p w:rsidR="00DD0E24" w:rsidRDefault="00DD0E24" w:rsidP="00964E64">
      <w:pPr>
        <w:pStyle w:val="Sous-titre1"/>
      </w:pPr>
      <w:r>
        <w:t>Miért van szükségünk bioüzemanyagokra?</w:t>
      </w:r>
    </w:p>
    <w:p w:rsidR="00DD0E24" w:rsidRDefault="00DD0E24" w:rsidP="00DD0E24">
      <w:pPr>
        <w:pStyle w:val="5Normal"/>
        <w:rPr>
          <w:szCs w:val="24"/>
          <w:lang w:val="en-IE"/>
        </w:rPr>
      </w:pPr>
      <w:r>
        <w:rPr>
          <w:szCs w:val="24"/>
          <w:lang w:val="hu-HU"/>
        </w:rPr>
        <w:t>A bioüzemanyagokra azért van szükségünk, hogy fel tudjuk venni a küzdelmet az éghajlatváltozással, és hozzájáruljunk az üvegházhatást okozó gázok kibocsátásának az Európai Tanács által 2007-ben vállalt, 20%-al való csökkentéséhez.</w:t>
      </w:r>
      <w:r>
        <w:rPr>
          <w:szCs w:val="24"/>
          <w:lang w:val="en-IE"/>
        </w:rPr>
        <w:t xml:space="preserve"> </w:t>
      </w:r>
      <w:r>
        <w:rPr>
          <w:szCs w:val="24"/>
          <w:lang w:val="hu-HU"/>
        </w:rPr>
        <w:t>A bioüzemanyagok jelentik a legfontosabb alternatívát az üvegházhatást okozó gázok európai uniós kibocsátásának 20%-áért felelős közlekedésben használt benzin és dízel tekintetében.</w:t>
      </w:r>
      <w:r>
        <w:rPr>
          <w:szCs w:val="24"/>
          <w:lang w:val="en-IE"/>
        </w:rPr>
        <w:t xml:space="preserve">  </w:t>
      </w:r>
    </w:p>
    <w:p w:rsidR="00DD0E24" w:rsidRDefault="00DD0E24" w:rsidP="00964E64">
      <w:pPr>
        <w:pStyle w:val="Sous-titre1"/>
      </w:pPr>
      <w:r>
        <w:t xml:space="preserve">Hogyan mozdítja elő az EU a bioüzemanyagok használatát? </w:t>
      </w:r>
    </w:p>
    <w:p w:rsidR="00DD0E24" w:rsidRDefault="00DD0E24" w:rsidP="00DD0E24">
      <w:pPr>
        <w:pStyle w:val="5Normal"/>
        <w:rPr>
          <w:szCs w:val="24"/>
        </w:rPr>
      </w:pPr>
      <w:r>
        <w:rPr>
          <w:szCs w:val="24"/>
          <w:lang w:val="hu-HU"/>
        </w:rPr>
        <w:t>A megújuló energiáról szóló 2009. évi irányelv</w:t>
      </w:r>
      <w:r>
        <w:rPr>
          <w:rStyle w:val="Lbjegyzet-hivatkozs"/>
          <w:szCs w:val="24"/>
          <w:lang w:val="hu-HU"/>
        </w:rPr>
        <w:footnoteReference w:id="1"/>
      </w:r>
      <w:r>
        <w:rPr>
          <w:szCs w:val="24"/>
          <w:lang w:val="hu-HU"/>
        </w:rPr>
        <w:t xml:space="preserve"> kötelezően teljesítendő célokat határoz meg a megújuló energia tekintetében.</w:t>
      </w:r>
      <w:r>
        <w:rPr>
          <w:szCs w:val="24"/>
        </w:rPr>
        <w:t xml:space="preserve"> </w:t>
      </w:r>
      <w:r>
        <w:rPr>
          <w:szCs w:val="24"/>
          <w:lang w:val="hu-HU"/>
        </w:rPr>
        <w:t>Minden egyes tagállamnak el kell érnie a számára meghatározott, a megújuló energiának az energiafogyasztáson belüli összarányára vonatkozó egyedi célt.</w:t>
      </w:r>
      <w:r>
        <w:rPr>
          <w:szCs w:val="24"/>
        </w:rPr>
        <w:t xml:space="preserve"> </w:t>
      </w:r>
      <w:r>
        <w:rPr>
          <w:szCs w:val="24"/>
          <w:lang w:val="hu-HU"/>
        </w:rPr>
        <w:t>Ezenkívül a közlekedési ágazatban valamennyi tagállamnak teljesítenie kell a megújuló energia arányára vonatkozó 10%-os egységes célkitűzést.</w:t>
      </w:r>
      <w:r>
        <w:rPr>
          <w:szCs w:val="24"/>
        </w:rPr>
        <w:t xml:space="preserve"> </w:t>
      </w:r>
      <w:r>
        <w:rPr>
          <w:szCs w:val="24"/>
          <w:lang w:val="hu-HU"/>
        </w:rPr>
        <w:t>A közlekedésben használt megújuló energia fő formáját a bioüzemanyagok képezik.</w:t>
      </w:r>
      <w:r>
        <w:rPr>
          <w:szCs w:val="24"/>
        </w:rPr>
        <w:t xml:space="preserve"> </w:t>
      </w:r>
    </w:p>
    <w:p w:rsidR="00DD0E24" w:rsidRDefault="00DD0E24" w:rsidP="00964E64">
      <w:pPr>
        <w:pStyle w:val="Sous-titre1"/>
        <w:rPr>
          <w:lang w:val="en-IE"/>
        </w:rPr>
      </w:pPr>
      <w:r>
        <w:t>Milyen újdonságokat tartalmaz a két közlemény?</w:t>
      </w:r>
      <w:r>
        <w:rPr>
          <w:lang w:val="en-IE"/>
        </w:rPr>
        <w:t xml:space="preserve"> </w:t>
      </w:r>
    </w:p>
    <w:p w:rsidR="00DD0E24" w:rsidRDefault="00DD0E24" w:rsidP="00DD0E24">
      <w:pPr>
        <w:pStyle w:val="Tiret1"/>
        <w:rPr>
          <w:szCs w:val="24"/>
        </w:rPr>
      </w:pPr>
      <w:r>
        <w:rPr>
          <w:b/>
          <w:szCs w:val="24"/>
          <w:lang w:val="hu-HU"/>
        </w:rPr>
        <w:t>A fenntartható bioüzemanyagokra vonatkozó tanúsítvány</w:t>
      </w:r>
      <w:r>
        <w:rPr>
          <w:szCs w:val="24"/>
          <w:lang w:val="hu-HU"/>
        </w:rPr>
        <w:t>:</w:t>
      </w:r>
      <w:r>
        <w:rPr>
          <w:szCs w:val="24"/>
        </w:rPr>
        <w:t xml:space="preserve"> </w:t>
      </w:r>
      <w:r>
        <w:rPr>
          <w:szCs w:val="24"/>
          <w:lang w:val="hu-HU"/>
        </w:rPr>
        <w:t>A Bizottság bioüzemanyagokra vonatkozó önkéntes tanúsítási rendszerek létrehozására ösztönzi az iparágat, a kormányokat és a nem kormányzati szervezeteket.</w:t>
      </w:r>
      <w:r>
        <w:rPr>
          <w:szCs w:val="24"/>
        </w:rPr>
        <w:t xml:space="preserve"> </w:t>
      </w:r>
      <w:r>
        <w:rPr>
          <w:szCs w:val="24"/>
          <w:lang w:val="hu-HU"/>
        </w:rPr>
        <w:t>A Bizottság meg fogja vizsgálni, hogy e rendszerek megbízhatóak-e, és rendelkeznek-e olyan ellenőrzési mechanizmusokkal, amelyek alkalmasak a csalások kiküszöbölésére.</w:t>
      </w:r>
      <w:r>
        <w:rPr>
          <w:b/>
          <w:szCs w:val="24"/>
        </w:rPr>
        <w:t xml:space="preserve"> </w:t>
      </w:r>
      <w:r>
        <w:rPr>
          <w:szCs w:val="24"/>
          <w:lang w:val="hu-HU"/>
        </w:rPr>
        <w:t>A tanúsítványok garanciát nyújtanak arra nézve, hogy a vonatkozó címkével forgalmazott bioüzemanyagok fenntarthatók, és előállításuk a megújuló energiáról szóló irányelvben meghatározott követelményeknek megfelelően történt.</w:t>
      </w:r>
      <w:r>
        <w:rPr>
          <w:szCs w:val="24"/>
        </w:rPr>
        <w:t xml:space="preserve"> </w:t>
      </w:r>
      <w:r>
        <w:rPr>
          <w:szCs w:val="24"/>
          <w:lang w:val="hu-HU"/>
        </w:rPr>
        <w:t>Valamennyi rendszerben kötelező független ellenőröket alkalmazni, akik a mezőgazdasági termelőtől a kereskedőig és az üzemanyag-beszállítóig terjedő termelési lánc egészére vonatkozóan ellenőrzéseket végeznek.</w:t>
      </w:r>
      <w:r>
        <w:rPr>
          <w:szCs w:val="24"/>
        </w:rPr>
        <w:t xml:space="preserve"> </w:t>
      </w:r>
    </w:p>
    <w:p w:rsidR="00DD0E24" w:rsidRDefault="00DD0E24" w:rsidP="00DD0E24">
      <w:pPr>
        <w:pStyle w:val="Tiret1"/>
        <w:rPr>
          <w:szCs w:val="24"/>
          <w:lang w:val="en-IE"/>
        </w:rPr>
      </w:pPr>
      <w:r>
        <w:rPr>
          <w:b/>
          <w:szCs w:val="24"/>
          <w:lang w:val="hu-HU"/>
        </w:rPr>
        <w:br w:type="page"/>
      </w:r>
      <w:r>
        <w:rPr>
          <w:b/>
          <w:szCs w:val="24"/>
          <w:lang w:val="hu-HU"/>
        </w:rPr>
        <w:lastRenderedPageBreak/>
        <w:t>A természet védelme</w:t>
      </w:r>
      <w:r>
        <w:rPr>
          <w:szCs w:val="24"/>
          <w:lang w:val="hu-HU"/>
        </w:rPr>
        <w:t>:</w:t>
      </w:r>
      <w:r>
        <w:rPr>
          <w:szCs w:val="24"/>
          <w:lang w:val="en-IE"/>
        </w:rPr>
        <w:t xml:space="preserve"> </w:t>
      </w:r>
      <w:r>
        <w:rPr>
          <w:szCs w:val="24"/>
          <w:lang w:val="hu-HU"/>
        </w:rPr>
        <w:t xml:space="preserve">A Bizottság egyértelműen meghatározza </w:t>
      </w:r>
      <w:r>
        <w:rPr>
          <w:b/>
          <w:szCs w:val="24"/>
          <w:lang w:val="hu-HU"/>
        </w:rPr>
        <w:t>azokat a területtípusokat</w:t>
      </w:r>
      <w:r>
        <w:rPr>
          <w:szCs w:val="24"/>
          <w:lang w:val="hu-HU"/>
        </w:rPr>
        <w:t xml:space="preserve">, amelyek </w:t>
      </w:r>
      <w:r>
        <w:rPr>
          <w:b/>
          <w:szCs w:val="24"/>
          <w:lang w:val="hu-HU"/>
        </w:rPr>
        <w:t>NEM vehetők igénybe bioüzemanyag</w:t>
      </w:r>
      <w:r>
        <w:rPr>
          <w:szCs w:val="24"/>
          <w:lang w:val="hu-HU"/>
        </w:rPr>
        <w:t xml:space="preserve"> előállítása céljából.</w:t>
      </w:r>
      <w:r>
        <w:rPr>
          <w:szCs w:val="24"/>
          <w:lang w:val="en-IE"/>
        </w:rPr>
        <w:t xml:space="preserve"> </w:t>
      </w:r>
      <w:r>
        <w:rPr>
          <w:szCs w:val="24"/>
          <w:lang w:val="hu-HU"/>
        </w:rPr>
        <w:t>E területek a következők:</w:t>
      </w:r>
      <w:r>
        <w:rPr>
          <w:szCs w:val="24"/>
          <w:lang w:val="en-IE"/>
        </w:rPr>
        <w:t xml:space="preserve"> </w:t>
      </w:r>
      <w:r>
        <w:rPr>
          <w:szCs w:val="24"/>
          <w:lang w:val="hu-HU"/>
        </w:rPr>
        <w:t>a természetes erdők, a védett területek, a vizes élőhelyek és a tőzegmocsarak.</w:t>
      </w:r>
      <w:r>
        <w:rPr>
          <w:szCs w:val="24"/>
          <w:lang w:val="en-IE"/>
        </w:rPr>
        <w:t xml:space="preserve"> </w:t>
      </w:r>
      <w:r>
        <w:rPr>
          <w:b/>
          <w:szCs w:val="24"/>
          <w:lang w:val="hu-HU"/>
        </w:rPr>
        <w:t>A Bizottság egyértelműen elutasítja az erdők olajpálma-ültetvényekké történő átalakításának lehetőségét.</w:t>
      </w:r>
      <w:r>
        <w:rPr>
          <w:b/>
          <w:szCs w:val="24"/>
          <w:lang w:val="en-IE"/>
        </w:rPr>
        <w:t xml:space="preserve"> </w:t>
      </w:r>
    </w:p>
    <w:p w:rsidR="00DD0E24" w:rsidRDefault="00DD0E24" w:rsidP="00DD0E24">
      <w:pPr>
        <w:pStyle w:val="Tiret1"/>
        <w:rPr>
          <w:szCs w:val="24"/>
          <w:lang w:val="en-IE"/>
        </w:rPr>
      </w:pPr>
      <w:r>
        <w:rPr>
          <w:b/>
          <w:szCs w:val="24"/>
          <w:lang w:val="hu-HU"/>
        </w:rPr>
        <w:t>Kizárólag olyan bioüzemanyagok támogatása, amelyek az üvegházhatást okozó gázok kibocsátásának jelentős mértékű csökkenését eredményezik:</w:t>
      </w:r>
      <w:r>
        <w:rPr>
          <w:szCs w:val="24"/>
          <w:lang w:val="en-IE"/>
        </w:rPr>
        <w:t xml:space="preserve"> </w:t>
      </w:r>
      <w:r>
        <w:rPr>
          <w:szCs w:val="24"/>
          <w:lang w:val="hu-HU"/>
        </w:rPr>
        <w:t xml:space="preserve">A Bizottság kifejti, hogyan bizonyítható be az, hogy </w:t>
      </w:r>
      <w:r>
        <w:rPr>
          <w:b/>
          <w:szCs w:val="24"/>
          <w:lang w:val="hu-HU"/>
        </w:rPr>
        <w:t>az alkalmazott bioüzemanyag jelentős mértékben csökkenti az üvegházhatást okozó gázok kibocsátását</w:t>
      </w:r>
      <w:r>
        <w:rPr>
          <w:szCs w:val="24"/>
          <w:lang w:val="hu-HU"/>
        </w:rPr>
        <w:t>.</w:t>
      </w:r>
      <w:r>
        <w:rPr>
          <w:szCs w:val="24"/>
          <w:lang w:val="en-IE"/>
        </w:rPr>
        <w:t xml:space="preserve"> </w:t>
      </w:r>
      <w:r>
        <w:rPr>
          <w:szCs w:val="24"/>
          <w:lang w:val="hu-HU"/>
        </w:rPr>
        <w:t xml:space="preserve">A bizottsági magyarázat értelmében azok a bioüzemanyagok, amelyek nem eredményezik </w:t>
      </w:r>
      <w:r>
        <w:rPr>
          <w:b/>
          <w:szCs w:val="24"/>
          <w:lang w:val="hu-HU"/>
        </w:rPr>
        <w:t xml:space="preserve">az üvegházhatást okozó gázok kibocsátásának legalább 35%-os csökkenését </w:t>
      </w:r>
      <w:r>
        <w:rPr>
          <w:szCs w:val="24"/>
          <w:lang w:val="hu-HU"/>
        </w:rPr>
        <w:t>a benzinhez és a dízelhez képest, nem fogadhatók el.</w:t>
      </w:r>
      <w:r>
        <w:rPr>
          <w:szCs w:val="24"/>
          <w:lang w:val="en-IE"/>
        </w:rPr>
        <w:t xml:space="preserve"> </w:t>
      </w:r>
      <w:r>
        <w:rPr>
          <w:szCs w:val="24"/>
          <w:lang w:val="hu-HU"/>
        </w:rPr>
        <w:t>2017-ben ez a határérték 50%-ra fog emelkedni.</w:t>
      </w:r>
      <w:r>
        <w:rPr>
          <w:szCs w:val="24"/>
          <w:lang w:val="en-IE"/>
        </w:rPr>
        <w:t xml:space="preserve"> </w:t>
      </w:r>
      <w:r>
        <w:rPr>
          <w:szCs w:val="24"/>
          <w:lang w:val="hu-HU"/>
        </w:rPr>
        <w:t>A kibocsátáscsökkenés kiszámításakor nemcsak a szén-dioxidot kell figyelembe venni, hanem az annál is fokozottabb üvegházhatást okozó metán és dinitrogén-oxid értékeit is.</w:t>
      </w:r>
      <w:r>
        <w:rPr>
          <w:sz w:val="20"/>
          <w:szCs w:val="24"/>
          <w:lang w:val="en-IE"/>
        </w:rPr>
        <w:t xml:space="preserve"> </w:t>
      </w:r>
    </w:p>
    <w:p w:rsidR="00DD0E24" w:rsidRDefault="00DD0E24" w:rsidP="00964E64">
      <w:pPr>
        <w:pStyle w:val="Sous-titre1"/>
        <w:rPr>
          <w:lang w:val="en-IE"/>
        </w:rPr>
      </w:pPr>
      <w:r>
        <w:t>Ez azt jelenti, hogy csak ezek a bioüzemanyagok importálhatók az EU-ba?</w:t>
      </w:r>
    </w:p>
    <w:p w:rsidR="00DD0E24" w:rsidRDefault="00DD0E24" w:rsidP="00DD0E24">
      <w:pPr>
        <w:pStyle w:val="5Normal"/>
        <w:rPr>
          <w:szCs w:val="24"/>
          <w:lang w:val="en-IE"/>
        </w:rPr>
      </w:pPr>
      <w:r>
        <w:rPr>
          <w:szCs w:val="24"/>
          <w:lang w:val="hu-HU"/>
        </w:rPr>
        <w:t xml:space="preserve">Nem. Ez annyit jelent, hogy csupán az említett feltételeknek megfelelő bioüzemanyagok </w:t>
      </w:r>
      <w:r>
        <w:rPr>
          <w:b/>
          <w:szCs w:val="24"/>
          <w:lang w:val="hu-HU"/>
        </w:rPr>
        <w:t>veendők számításba azon nemzeti célkitűzések szempontjából</w:t>
      </w:r>
      <w:r>
        <w:rPr>
          <w:szCs w:val="24"/>
          <w:lang w:val="hu-HU"/>
        </w:rPr>
        <w:t>, amelyeket az EU 27 tagállamának a 2009. évi megújulóenergia-irányelv értelmében 2020-ra teljesítenie kell.</w:t>
      </w:r>
      <w:r>
        <w:rPr>
          <w:szCs w:val="24"/>
          <w:lang w:val="en-IE"/>
        </w:rPr>
        <w:t xml:space="preserve"> . </w:t>
      </w:r>
      <w:r>
        <w:rPr>
          <w:szCs w:val="24"/>
          <w:lang w:val="hu-HU"/>
        </w:rPr>
        <w:t xml:space="preserve">Ez valamennyi bioüzemanyagra vonatkozik, függetlenül attól, hogy az Európai Unióban állították-e elő, vagy </w:t>
      </w:r>
      <w:r>
        <w:rPr>
          <w:b/>
          <w:szCs w:val="24"/>
          <w:lang w:val="hu-HU"/>
        </w:rPr>
        <w:t>az EU-n kívülről importálták</w:t>
      </w:r>
      <w:r>
        <w:rPr>
          <w:szCs w:val="24"/>
          <w:lang w:val="hu-HU"/>
        </w:rPr>
        <w:t>.</w:t>
      </w:r>
      <w:r>
        <w:rPr>
          <w:szCs w:val="24"/>
          <w:lang w:val="en-IE"/>
        </w:rPr>
        <w:t xml:space="preserve"> </w:t>
      </w:r>
      <w:r>
        <w:rPr>
          <w:szCs w:val="24"/>
          <w:lang w:val="hu-HU"/>
        </w:rPr>
        <w:t>Kizárólag ezekre a bioüzemanyagokra nyújtható állami támogatás, például adókedvezmény formájában.</w:t>
      </w:r>
      <w:r>
        <w:rPr>
          <w:szCs w:val="24"/>
          <w:lang w:val="en-IE"/>
        </w:rPr>
        <w:t xml:space="preserve">  </w:t>
      </w:r>
    </w:p>
    <w:p w:rsidR="00DD0E24" w:rsidRDefault="00DD0E24" w:rsidP="00964E64">
      <w:pPr>
        <w:pStyle w:val="Sous-titre1"/>
      </w:pPr>
      <w:r>
        <w:t xml:space="preserve">Hogyan működik a gyakorlatban a tanúsítás? </w:t>
      </w:r>
    </w:p>
    <w:p w:rsidR="00DD0E24" w:rsidRDefault="00DD0E24" w:rsidP="00DD0E24">
      <w:pPr>
        <w:pStyle w:val="5Normal"/>
        <w:rPr>
          <w:szCs w:val="24"/>
        </w:rPr>
      </w:pPr>
      <w:r>
        <w:rPr>
          <w:szCs w:val="24"/>
          <w:lang w:val="hu-HU"/>
        </w:rPr>
        <w:t>Példa:</w:t>
      </w:r>
      <w:r>
        <w:rPr>
          <w:szCs w:val="24"/>
        </w:rPr>
        <w:t xml:space="preserve"> </w:t>
      </w:r>
      <w:r>
        <w:rPr>
          <w:szCs w:val="24"/>
          <w:lang w:val="hu-HU"/>
        </w:rPr>
        <w:t>Egy egyesült királyságbeli üzemanyag-beszállítónak, amely Brazíliából származó etanolt használ, be kell jelentenie az egyesült királyságbeli hatóságoknak a bioüzemanyagok mennyiségét.</w:t>
      </w:r>
      <w:r>
        <w:rPr>
          <w:szCs w:val="24"/>
        </w:rPr>
        <w:t xml:space="preserve"> </w:t>
      </w:r>
      <w:r>
        <w:rPr>
          <w:szCs w:val="24"/>
          <w:lang w:val="hu-HU"/>
        </w:rPr>
        <w:t>Annak igazolására, hogy ezek az üzemanyagok az irányelv értelmében fenntarthatónak minősülnek, csatlakozhat valamely önkéntes rendszerhez.</w:t>
      </w:r>
      <w:r>
        <w:rPr>
          <w:szCs w:val="24"/>
        </w:rPr>
        <w:t xml:space="preserve"> </w:t>
      </w:r>
    </w:p>
    <w:p w:rsidR="00DD0E24" w:rsidRDefault="00DD0E24" w:rsidP="00DD0E24">
      <w:pPr>
        <w:pStyle w:val="5Normal"/>
        <w:rPr>
          <w:szCs w:val="24"/>
        </w:rPr>
      </w:pPr>
      <w:r>
        <w:rPr>
          <w:szCs w:val="24"/>
          <w:lang w:val="hu-HU"/>
        </w:rPr>
        <w:t>Az üzemanyag-beszállítónak gondoskodnia kell arról, hogy a kereskedő, akitől a bioüzemanyagot veszi, az etanolüzem, ahonnan a kereskedő az etanolt veszi, és a mezőgazdasági termelő, aki az etanolüzem számára a cukornádat szállítja, a termelési folyamat egésze során megőrizzen minden vonatkozó feljegyzést.</w:t>
      </w:r>
      <w:r>
        <w:rPr>
          <w:szCs w:val="24"/>
        </w:rPr>
        <w:t xml:space="preserve">  </w:t>
      </w:r>
      <w:r>
        <w:rPr>
          <w:szCs w:val="24"/>
          <w:lang w:val="hu-HU"/>
        </w:rPr>
        <w:t>Ennek ellenőrzését először azelőtt kell végrehajtani, hogy a vállalat csatlakozik a rendszerhez, majd azután legalább évente egyszer.</w:t>
      </w:r>
      <w:r>
        <w:rPr>
          <w:szCs w:val="24"/>
        </w:rPr>
        <w:t xml:space="preserve"> </w:t>
      </w:r>
    </w:p>
    <w:p w:rsidR="00DD0E24" w:rsidRDefault="00DD0E24" w:rsidP="00DD0E24">
      <w:pPr>
        <w:pStyle w:val="5Normal"/>
        <w:rPr>
          <w:szCs w:val="24"/>
        </w:rPr>
      </w:pPr>
      <w:r>
        <w:rPr>
          <w:szCs w:val="24"/>
          <w:lang w:val="hu-HU"/>
        </w:rPr>
        <w:t>Az ellenőrzést úgy kell lefolytatni, mint ahogy az a pénzügyi szektorban történik.</w:t>
      </w:r>
      <w:r>
        <w:rPr>
          <w:szCs w:val="24"/>
        </w:rPr>
        <w:t xml:space="preserve"> </w:t>
      </w:r>
      <w:r>
        <w:rPr>
          <w:szCs w:val="24"/>
          <w:lang w:val="hu-HU"/>
        </w:rPr>
        <w:t>Az ellenőr megvizsgál minden dokumentumot, és ellenőrzést folytat a mezőgazdasági termelők, a sajtolóüzemek és a kereskedők köréből vett mintára vonatkozóan.</w:t>
      </w:r>
      <w:r>
        <w:rPr>
          <w:szCs w:val="24"/>
        </w:rPr>
        <w:t xml:space="preserve"> </w:t>
      </w:r>
      <w:r>
        <w:rPr>
          <w:szCs w:val="24"/>
          <w:lang w:val="hu-HU"/>
        </w:rPr>
        <w:t>Ellenőrzi azt is, hogy az a földterület, amelyen az etanol előállításához használt nyersanyagot termelték, valóban mezőgazdasági földterület volt-e korábban, nem pedig trópusi erdő.</w:t>
      </w:r>
      <w:r>
        <w:rPr>
          <w:szCs w:val="24"/>
        </w:rPr>
        <w:t xml:space="preserve"> </w:t>
      </w:r>
    </w:p>
    <w:p w:rsidR="00DD0E24" w:rsidRDefault="00DD0E24" w:rsidP="00964E64">
      <w:pPr>
        <w:pStyle w:val="Sous-titre1"/>
      </w:pPr>
      <w:r>
        <w:t xml:space="preserve">Láthat-e a fogyasztó valamiféle címkét tankoláskor? </w:t>
      </w:r>
    </w:p>
    <w:p w:rsidR="00DD0E24" w:rsidRDefault="00DD0E24" w:rsidP="00DD0E24">
      <w:pPr>
        <w:pStyle w:val="5Normal"/>
        <w:rPr>
          <w:szCs w:val="24"/>
        </w:rPr>
      </w:pPr>
      <w:r>
        <w:rPr>
          <w:szCs w:val="24"/>
          <w:lang w:val="hu-HU"/>
        </w:rPr>
        <w:t>A tanúsítási rendszerek keretében nem kötelező címkével látni el a végterméket.</w:t>
      </w:r>
      <w:r>
        <w:rPr>
          <w:szCs w:val="24"/>
        </w:rPr>
        <w:t xml:space="preserve"> </w:t>
      </w:r>
      <w:r>
        <w:rPr>
          <w:szCs w:val="24"/>
          <w:lang w:val="hu-HU"/>
        </w:rPr>
        <w:t>Mindazonáltal a rendszerek szabadon élhetnek ezzel a lehetőséggel. Promóciós szempontból is célszerű lenne, ha a töltőállomások tudathatnák a fogyasztókkal, hogy fenntartható bioüzemanyag is kapható náluk.</w:t>
      </w:r>
      <w:r>
        <w:rPr>
          <w:szCs w:val="24"/>
        </w:rPr>
        <w:t xml:space="preserve"> </w:t>
      </w:r>
      <w:r>
        <w:rPr>
          <w:szCs w:val="24"/>
          <w:lang w:val="hu-HU"/>
        </w:rPr>
        <w:t>Ez még inkább igaz azokban az esetekben, amikor valamely rendszer az uniós jogszabályokban megkövetelteknél is szigorúbb fenntarthatósági kritériumokat alkalmaz.</w:t>
      </w:r>
      <w:r>
        <w:rPr>
          <w:szCs w:val="24"/>
        </w:rPr>
        <w:t xml:space="preserve"> </w:t>
      </w:r>
    </w:p>
    <w:p w:rsidR="00DD0E24" w:rsidRDefault="00DD0E24" w:rsidP="00964E64">
      <w:pPr>
        <w:pStyle w:val="Sous-titre1"/>
      </w:pPr>
      <w:r>
        <w:br w:type="page"/>
      </w:r>
      <w:r>
        <w:lastRenderedPageBreak/>
        <w:t xml:space="preserve">Mutatkozott-e már ezidáig érdeklődés egy ilyen rendszer létrehozása iránt vállalatok vagy kormányok részéről? </w:t>
      </w:r>
    </w:p>
    <w:p w:rsidR="00DD0E24" w:rsidRDefault="00DD0E24" w:rsidP="00DD0E24">
      <w:pPr>
        <w:pStyle w:val="5Normal"/>
        <w:rPr>
          <w:szCs w:val="24"/>
        </w:rPr>
      </w:pPr>
      <w:r>
        <w:rPr>
          <w:szCs w:val="24"/>
          <w:lang w:val="hu-HU"/>
        </w:rPr>
        <w:t>A Bizottság kapcsolatban áll számos olyan vállalattal és szervezettel, amely érdeklődik önkéntes rendszerek létrehozása iránt.</w:t>
      </w:r>
      <w:r>
        <w:rPr>
          <w:szCs w:val="24"/>
        </w:rPr>
        <w:t xml:space="preserve"> </w:t>
      </w:r>
      <w:r>
        <w:rPr>
          <w:szCs w:val="24"/>
          <w:lang w:val="hu-HU"/>
        </w:rPr>
        <w:t>Most, hogy egyértelművé váltak az ellenőrzésre vonatkozó követelmények, e vállalatok és szervezetek várhatóan a Bizottsághoz fognak fordulni önkéntes rendszereik elismertetése céljából.</w:t>
      </w:r>
    </w:p>
    <w:p w:rsidR="00DD0E24" w:rsidRDefault="00DD0E24" w:rsidP="00964E64">
      <w:pPr>
        <w:pStyle w:val="Sous-titre1"/>
      </w:pPr>
      <w:r>
        <w:t xml:space="preserve">Ki van zárva a csalás lehetősége? Az ellenőrök nincsenek mindig jelen. </w:t>
      </w:r>
    </w:p>
    <w:p w:rsidR="00DD0E24" w:rsidRDefault="00DD0E24" w:rsidP="00DD0E24">
      <w:pPr>
        <w:pStyle w:val="5Normal"/>
        <w:rPr>
          <w:szCs w:val="24"/>
        </w:rPr>
      </w:pPr>
      <w:r>
        <w:rPr>
          <w:szCs w:val="24"/>
          <w:lang w:val="hu-HU"/>
        </w:rPr>
        <w:t xml:space="preserve">Abban a nagyon valószínűtlen esetben, ha – a független ellenőrök általi ellenőrzés ellenére is – csalás gyanúja merülne fel, bárki a Bizottság elé terjesztheti az ügyet, a </w:t>
      </w:r>
      <w:r>
        <w:rPr>
          <w:b/>
          <w:szCs w:val="24"/>
          <w:lang w:val="hu-HU"/>
        </w:rPr>
        <w:t>Bizottság pedig visszavonhatja az érintett rendszer elismerését</w:t>
      </w:r>
      <w:r>
        <w:rPr>
          <w:szCs w:val="24"/>
          <w:lang w:val="hu-HU"/>
        </w:rPr>
        <w:t>.</w:t>
      </w:r>
      <w:r>
        <w:rPr>
          <w:szCs w:val="24"/>
        </w:rPr>
        <w:t xml:space="preserve"> </w:t>
      </w:r>
    </w:p>
    <w:p w:rsidR="00DD0E24" w:rsidRDefault="00DD0E24" w:rsidP="00964E64">
      <w:pPr>
        <w:pStyle w:val="Sous-titre1"/>
      </w:pPr>
      <w:r>
        <w:t xml:space="preserve">Milyen bioüzemanyagokat használnak a közlekedésben? </w:t>
      </w:r>
    </w:p>
    <w:p w:rsidR="00DD0E24" w:rsidRDefault="00DD0E24" w:rsidP="00DD0E24">
      <w:pPr>
        <w:pStyle w:val="5Normal"/>
        <w:rPr>
          <w:szCs w:val="24"/>
          <w:lang w:val="en-IE"/>
        </w:rPr>
      </w:pPr>
      <w:r>
        <w:rPr>
          <w:szCs w:val="24"/>
          <w:lang w:val="hu-HU"/>
        </w:rPr>
        <w:t>2007-ben az EU-ban a közlekedési célból felhasznált megújuló üzemanyagokon belül a biodízel aránya 75% (6,1 millió tonna kőolaj-egyenérték), a bioetanolé 15% (1,24 millió tonna kőolaj-egyenérték) volt, a fennmaradó 10%-ot pedig a tiszta növényi olaj adta.</w:t>
      </w:r>
      <w:r>
        <w:rPr>
          <w:szCs w:val="24"/>
          <w:lang w:val="en-IE"/>
        </w:rPr>
        <w:t xml:space="preserve"> </w:t>
      </w:r>
    </w:p>
    <w:p w:rsidR="00DD0E24" w:rsidRDefault="00DD0E24" w:rsidP="00964E64">
      <w:pPr>
        <w:pStyle w:val="Sous-titre1"/>
        <w:rPr>
          <w:lang w:val="en-IE"/>
        </w:rPr>
      </w:pPr>
      <w:r>
        <w:t>Mennyi bioüzemanyagot importálnak az EU-ba?</w:t>
      </w:r>
      <w:r>
        <w:rPr>
          <w:lang w:val="en-IE"/>
        </w:rPr>
        <w:t xml:space="preserve">  </w:t>
      </w:r>
    </w:p>
    <w:p w:rsidR="00DD0E24" w:rsidRDefault="00DD0E24" w:rsidP="00DD0E24">
      <w:pPr>
        <w:pStyle w:val="5Normal"/>
        <w:rPr>
          <w:szCs w:val="24"/>
          <w:lang w:val="en-IE"/>
        </w:rPr>
      </w:pPr>
      <w:r>
        <w:rPr>
          <w:szCs w:val="24"/>
          <w:lang w:val="hu-HU"/>
        </w:rPr>
        <w:t>2007-ben az EU-ban felhasznált biodízelnek mintegy 26%-a, a bioetanolnak pedig körülbelül 31%-a származott importból.</w:t>
      </w:r>
      <w:r>
        <w:rPr>
          <w:szCs w:val="24"/>
          <w:lang w:val="en-IE"/>
        </w:rPr>
        <w:t xml:space="preserve"> </w:t>
      </w:r>
      <w:r>
        <w:rPr>
          <w:szCs w:val="24"/>
          <w:lang w:val="hu-HU"/>
        </w:rPr>
        <w:t>A behozott bioüzemanyagok zöme Brazíliából és az USA-ból érkezett.</w:t>
      </w:r>
      <w:r>
        <w:rPr>
          <w:szCs w:val="24"/>
          <w:lang w:val="en-IE"/>
        </w:rPr>
        <w:t xml:space="preserve"> </w:t>
      </w:r>
      <w:r>
        <w:rPr>
          <w:szCs w:val="24"/>
          <w:lang w:val="hu-HU"/>
        </w:rPr>
        <w:t>A bioüzemanyagok túlnyomó részét az Európai Unióban állítják elő.</w:t>
      </w:r>
      <w:r>
        <w:rPr>
          <w:szCs w:val="24"/>
          <w:lang w:val="en-IE"/>
        </w:rPr>
        <w:t xml:space="preserve"> </w:t>
      </w:r>
      <w:r>
        <w:rPr>
          <w:szCs w:val="24"/>
          <w:lang w:val="hu-HU"/>
        </w:rPr>
        <w:t>Az uniós bioüzemanyagoknak a fenntarthatósági kritériumokon kívül meg kell felelniük az EU környezetvédelmi jogszabályainak és mezőgazdasági vonatkozású követelményeinek is, ideértve a tájkép megőrzésére, a talajnak az erózióval szembeni védelmére és a vízgazdálkodásra vonatkozó előírásokat is.</w:t>
      </w:r>
      <w:r>
        <w:rPr>
          <w:szCs w:val="24"/>
          <w:lang w:val="en-IE"/>
        </w:rPr>
        <w:t xml:space="preserve"> </w:t>
      </w:r>
    </w:p>
    <w:p w:rsidR="00DD0E24" w:rsidRDefault="00DD0E24" w:rsidP="00964E64">
      <w:pPr>
        <w:pStyle w:val="Sous-titre1"/>
        <w:rPr>
          <w:lang w:val="en-IE"/>
        </w:rPr>
      </w:pPr>
      <w:r>
        <w:t>A rendelkezésre álló földterület korlátozott.</w:t>
      </w:r>
      <w:r>
        <w:rPr>
          <w:lang w:val="en-IE"/>
        </w:rPr>
        <w:t xml:space="preserve"> </w:t>
      </w:r>
      <w:r>
        <w:t>Muszáj erdőket irtani a bioüzemanyagok előállításához?</w:t>
      </w:r>
      <w:r>
        <w:rPr>
          <w:lang w:val="en-IE"/>
        </w:rPr>
        <w:t xml:space="preserve">  </w:t>
      </w:r>
    </w:p>
    <w:p w:rsidR="00DD0E24" w:rsidRDefault="00DD0E24" w:rsidP="00DD0E24">
      <w:pPr>
        <w:pStyle w:val="5Normal"/>
        <w:rPr>
          <w:szCs w:val="24"/>
          <w:lang w:val="hu-HU"/>
        </w:rPr>
      </w:pPr>
      <w:r>
        <w:rPr>
          <w:szCs w:val="24"/>
          <w:lang w:val="hu-HU"/>
        </w:rPr>
        <w:t xml:space="preserve">A 10%-os célkitűzés teljesítéséhez mintegy 2–5 millió hektárnyi földterületre lenne szükség a földhasználat változásának nettó mutatóira vonatkozó becslések szerint. </w:t>
      </w:r>
      <w:r>
        <w:rPr>
          <w:szCs w:val="24"/>
          <w:lang w:val="en-IE"/>
        </w:rPr>
        <w:t xml:space="preserve"> </w:t>
      </w:r>
      <w:r>
        <w:rPr>
          <w:szCs w:val="24"/>
          <w:lang w:val="hu-HU"/>
        </w:rPr>
        <w:t>Az EU elegendő olyan földterülettel rendelkezik, amelyet korábban növénytermesztésre használtak, de amelyen már nem folyik szántóföldi gazdálkodás; az ilyen földterületek még akkor is fedeznék a szükséges területmennyiséget, ha az elfogyasztott bioüzemanyagok teljes mennyiségét Európában állítanák elő.</w:t>
      </w:r>
      <w:r>
        <w:rPr>
          <w:szCs w:val="24"/>
          <w:lang w:val="en-IE"/>
        </w:rPr>
        <w:t xml:space="preserve"> </w:t>
      </w:r>
      <w:r>
        <w:rPr>
          <w:szCs w:val="24"/>
          <w:lang w:val="hu-HU"/>
        </w:rPr>
        <w:t>A világ más részein is van alternatívája az újabb erdőirtásoknak.</w:t>
      </w:r>
      <w:r>
        <w:rPr>
          <w:szCs w:val="24"/>
          <w:lang w:val="en-IE"/>
        </w:rPr>
        <w:t xml:space="preserve"> </w:t>
      </w:r>
      <w:r>
        <w:rPr>
          <w:szCs w:val="24"/>
          <w:lang w:val="hu-HU"/>
        </w:rPr>
        <w:t>Indonéziában a becslések szerint 3–12 millió hektár annak a területnek a nagysága, amelyet a rajta található erdők kiirtása után parlagon hagytak.</w:t>
      </w:r>
      <w:r>
        <w:rPr>
          <w:szCs w:val="24"/>
          <w:lang w:val="en-IE"/>
        </w:rPr>
        <w:t xml:space="preserve"> </w:t>
      </w:r>
      <w:r>
        <w:rPr>
          <w:szCs w:val="24"/>
          <w:lang w:val="hu-HU"/>
        </w:rPr>
        <w:t>Célszerű lenne ezt a földet használatba venni.</w:t>
      </w:r>
    </w:p>
    <w:p w:rsidR="00DD0E24" w:rsidRPr="00C27833" w:rsidRDefault="00DD0E24" w:rsidP="00964E64">
      <w:pPr>
        <w:pStyle w:val="Sous-titre1"/>
      </w:pPr>
      <w:r>
        <w:t>Sor kerülhet-e esőerdők kivágására és pálmaolaj termelésére az uniós célkitűzések teljesítéséhez szükséges bioüzemanyagok előállítása érdekében?</w:t>
      </w:r>
    </w:p>
    <w:p w:rsidR="00DD0E24" w:rsidRDefault="00DD0E24" w:rsidP="00DD0E24">
      <w:pPr>
        <w:pStyle w:val="5Normal"/>
        <w:rPr>
          <w:szCs w:val="24"/>
        </w:rPr>
      </w:pPr>
      <w:r>
        <w:rPr>
          <w:szCs w:val="24"/>
          <w:lang w:val="hu-HU"/>
        </w:rPr>
        <w:t>Nem. Ezt a közlemény kizárja.</w:t>
      </w:r>
      <w:r>
        <w:rPr>
          <w:b/>
          <w:szCs w:val="24"/>
        </w:rPr>
        <w:t xml:space="preserve"> </w:t>
      </w:r>
      <w:r>
        <w:rPr>
          <w:szCs w:val="24"/>
          <w:lang w:val="hu-HU"/>
        </w:rPr>
        <w:t>A közlemény egyértelműen kimondja, hogy az erdők nem alakíthatók át olajpálma-ültetvényekké.</w:t>
      </w:r>
      <w:r>
        <w:rPr>
          <w:b/>
          <w:szCs w:val="24"/>
        </w:rPr>
        <w:t xml:space="preserve"> </w:t>
      </w:r>
    </w:p>
    <w:p w:rsidR="00DD0E24" w:rsidRDefault="00DD0E24" w:rsidP="00964E64">
      <w:pPr>
        <w:pStyle w:val="Sous-titre1"/>
      </w:pPr>
      <w:r>
        <w:br w:type="page"/>
      </w:r>
      <w:r>
        <w:lastRenderedPageBreak/>
        <w:t>A bioüzemanyagok többsége pálmaolajból készül?</w:t>
      </w:r>
    </w:p>
    <w:p w:rsidR="00DD0E24" w:rsidRDefault="00DD0E24" w:rsidP="00DD0E24">
      <w:pPr>
        <w:pStyle w:val="5Normal"/>
        <w:rPr>
          <w:szCs w:val="24"/>
        </w:rPr>
      </w:pPr>
      <w:r>
        <w:rPr>
          <w:szCs w:val="24"/>
          <w:lang w:val="hu-HU"/>
        </w:rPr>
        <w:t>Az EU-ban a bioüzemanyagoknak csak mintegy 4–5%-a készül pálmaolajból.</w:t>
      </w:r>
      <w:r>
        <w:rPr>
          <w:szCs w:val="24"/>
        </w:rPr>
        <w:t xml:space="preserve"> </w:t>
      </w:r>
      <w:r>
        <w:rPr>
          <w:szCs w:val="24"/>
          <w:lang w:val="hu-HU"/>
        </w:rPr>
        <w:t>Ez a világ pálmaolaj-termelésének körülbelül 1%-át fedi le.</w:t>
      </w:r>
      <w:r>
        <w:rPr>
          <w:szCs w:val="24"/>
        </w:rPr>
        <w:t xml:space="preserve"> </w:t>
      </w:r>
      <w:r>
        <w:rPr>
          <w:szCs w:val="24"/>
          <w:lang w:val="hu-HU"/>
        </w:rPr>
        <w:t>A pálmaolaj bioüzemanyag-előállításhoz történő felhasználása az EU-n kívül sem jelentős.</w:t>
      </w:r>
      <w:r>
        <w:rPr>
          <w:szCs w:val="24"/>
        </w:rPr>
        <w:t xml:space="preserve"> </w:t>
      </w:r>
      <w:r>
        <w:rPr>
          <w:szCs w:val="24"/>
          <w:lang w:val="hu-HU"/>
        </w:rPr>
        <w:t>A pálmaolajnak több mint 95%-át élelmiszerekben és ipari célokra – például kozmetikai termékek előállításához – használják.</w:t>
      </w:r>
    </w:p>
    <w:p w:rsidR="00DD0E24" w:rsidRDefault="00DD0E24" w:rsidP="00DD0E24">
      <w:pPr>
        <w:pStyle w:val="5Normal"/>
        <w:rPr>
          <w:szCs w:val="24"/>
        </w:rPr>
      </w:pPr>
      <w:r>
        <w:rPr>
          <w:szCs w:val="24"/>
          <w:lang w:val="hu-HU"/>
        </w:rPr>
        <w:t>2000 és 2008 között a pálmaolaj-termelés 20 millió tonnával nőtt.</w:t>
      </w:r>
      <w:r>
        <w:rPr>
          <w:szCs w:val="24"/>
        </w:rPr>
        <w:t xml:space="preserve"> </w:t>
      </w:r>
      <w:r>
        <w:rPr>
          <w:szCs w:val="24"/>
          <w:lang w:val="hu-HU"/>
        </w:rPr>
        <w:t>Ez negyvenszerese az EU-ban a bioüzemanyagok előállításához felhasznált mennyiségnek (500 000 tonna).</w:t>
      </w:r>
      <w:r>
        <w:rPr>
          <w:szCs w:val="24"/>
        </w:rPr>
        <w:t xml:space="preserve"> </w:t>
      </w:r>
      <w:r>
        <w:rPr>
          <w:szCs w:val="24"/>
          <w:lang w:val="hu-HU"/>
        </w:rPr>
        <w:t>Vagyis a bioüzemanyagok nem tekinthetők az erdőirtás fő okának.</w:t>
      </w:r>
      <w:r>
        <w:rPr>
          <w:szCs w:val="24"/>
        </w:rPr>
        <w:t xml:space="preserve"> </w:t>
      </w:r>
      <w:r>
        <w:rPr>
          <w:szCs w:val="24"/>
          <w:lang w:val="hu-HU"/>
        </w:rPr>
        <w:t>A fenntarthatósági kritériumok mindazonáltal egyértelműen az erdőirtás megakadályozásának irányába hatnak.</w:t>
      </w:r>
    </w:p>
    <w:p w:rsidR="00DD0E24" w:rsidRDefault="00DD0E24" w:rsidP="00964E64">
      <w:pPr>
        <w:pStyle w:val="Sous-titre1"/>
      </w:pPr>
      <w:r>
        <w:t xml:space="preserve">Egyes uniós tanulmányok azt mutatják, hogy a bioüzemanyagok használata nem csökkenti az üvegházhatást okozó gázok kibocsátását. Mi erre az EU válasza? </w:t>
      </w:r>
    </w:p>
    <w:p w:rsidR="00DD0E24" w:rsidRDefault="00DD0E24" w:rsidP="00DD0E24">
      <w:pPr>
        <w:pStyle w:val="5Normal"/>
        <w:rPr>
          <w:szCs w:val="24"/>
        </w:rPr>
      </w:pPr>
      <w:r>
        <w:rPr>
          <w:szCs w:val="24"/>
          <w:lang w:val="hu-HU"/>
        </w:rPr>
        <w:t>Ez nem így van.</w:t>
      </w:r>
      <w:r>
        <w:rPr>
          <w:szCs w:val="24"/>
        </w:rPr>
        <w:t xml:space="preserve"> </w:t>
      </w:r>
      <w:r>
        <w:rPr>
          <w:szCs w:val="24"/>
          <w:lang w:val="hu-HU"/>
        </w:rPr>
        <w:t>A közelmúltban kiadott jelentések szerint a bioüzemanyagok igenis csökkentik az üvegházhatást okozó gázok kibocsátását.</w:t>
      </w:r>
      <w:r>
        <w:rPr>
          <w:szCs w:val="24"/>
        </w:rPr>
        <w:t xml:space="preserve"> </w:t>
      </w:r>
      <w:r>
        <w:rPr>
          <w:szCs w:val="24"/>
          <w:lang w:val="hu-HU"/>
        </w:rPr>
        <w:t>A Bizottság – a megújuló energiáról szóló irányelvben foglalt követelménynek megfelelően, az említett tanulmányok alapján – még az év vége előtt jelentést tesz közzé a közvetett földhasználatról.</w:t>
      </w:r>
    </w:p>
    <w:p w:rsidR="00DD0E24" w:rsidRPr="002773A8" w:rsidRDefault="00DD0E24" w:rsidP="00964E64">
      <w:pPr>
        <w:pStyle w:val="Sous-titre1"/>
        <w:rPr>
          <w:lang w:val="pt-PT"/>
        </w:rPr>
      </w:pPr>
      <w:r w:rsidRPr="00FF3CCD">
        <w:rPr>
          <w:lang w:val="pt-PT"/>
        </w:rPr>
        <w:br w:type="page"/>
      </w:r>
      <w:r w:rsidRPr="002773A8">
        <w:lastRenderedPageBreak/>
        <w:t>A bioüzemanyagok használata terén 2003–2008 között elért eredmények az EU-ban</w:t>
      </w:r>
    </w:p>
    <w:p w:rsidR="00DD0E24" w:rsidRPr="002773A8" w:rsidRDefault="00DD0E24" w:rsidP="00964E64">
      <w:pPr>
        <w:pStyle w:val="Sous-titre1"/>
        <w:rPr>
          <w:lang w:val="pt-PT"/>
        </w:rPr>
      </w:pPr>
      <w:r w:rsidRPr="002773A8">
        <w:t>A bioüzemanyagok aránya a közlekedésben használt üzemanyagokon belül</w:t>
      </w:r>
    </w:p>
    <w:tbl>
      <w:tblPr>
        <w:tblStyle w:val="Rcsostblzat"/>
        <w:tblW w:w="0" w:type="auto"/>
        <w:tblInd w:w="771" w:type="dxa"/>
        <w:tblLayout w:type="fixed"/>
        <w:tblLook w:val="01E0"/>
      </w:tblPr>
      <w:tblGrid>
        <w:gridCol w:w="2448"/>
        <w:gridCol w:w="1080"/>
        <w:gridCol w:w="1440"/>
        <w:gridCol w:w="1071"/>
        <w:gridCol w:w="1512"/>
      </w:tblGrid>
      <w:tr w:rsidR="00DD0E24" w:rsidTr="00F304A4">
        <w:tc>
          <w:tcPr>
            <w:tcW w:w="2448" w:type="dxa"/>
          </w:tcPr>
          <w:p w:rsidR="00DD0E24" w:rsidRDefault="00DD0E24" w:rsidP="00F304A4">
            <w:pPr>
              <w:pStyle w:val="5Normal"/>
              <w:jc w:val="center"/>
              <w:rPr>
                <w:szCs w:val="24"/>
              </w:rPr>
            </w:pPr>
            <w:r>
              <w:rPr>
                <w:b/>
                <w:szCs w:val="24"/>
                <w:lang w:val="hu-HU"/>
              </w:rPr>
              <w:t>Tagállam</w:t>
            </w:r>
          </w:p>
        </w:tc>
        <w:tc>
          <w:tcPr>
            <w:tcW w:w="2520" w:type="dxa"/>
            <w:gridSpan w:val="2"/>
          </w:tcPr>
          <w:p w:rsidR="00DD0E24" w:rsidRDefault="00DD0E24" w:rsidP="00F304A4">
            <w:pPr>
              <w:pStyle w:val="5Normal"/>
              <w:jc w:val="center"/>
              <w:rPr>
                <w:szCs w:val="24"/>
              </w:rPr>
            </w:pPr>
            <w:r>
              <w:rPr>
                <w:b/>
                <w:szCs w:val="24"/>
                <w:lang w:val="hu-HU"/>
              </w:rPr>
              <w:t>A bioüzemanyagok aránya 2003-ban</w:t>
            </w:r>
          </w:p>
        </w:tc>
        <w:tc>
          <w:tcPr>
            <w:tcW w:w="2583" w:type="dxa"/>
            <w:gridSpan w:val="2"/>
          </w:tcPr>
          <w:p w:rsidR="00DD0E24" w:rsidRDefault="00DD0E24" w:rsidP="00F304A4">
            <w:pPr>
              <w:pStyle w:val="5Normal"/>
              <w:jc w:val="center"/>
              <w:rPr>
                <w:szCs w:val="24"/>
              </w:rPr>
            </w:pPr>
            <w:r>
              <w:rPr>
                <w:b/>
                <w:szCs w:val="24"/>
                <w:lang w:val="hu-HU"/>
              </w:rPr>
              <w:t>A bioüzemanyagok aránya 2008-ban</w:t>
            </w:r>
          </w:p>
        </w:tc>
      </w:tr>
      <w:tr w:rsidR="00DD0E24" w:rsidTr="00F304A4">
        <w:tc>
          <w:tcPr>
            <w:tcW w:w="2448" w:type="dxa"/>
          </w:tcPr>
          <w:p w:rsidR="00DD0E24" w:rsidRDefault="00DD0E24" w:rsidP="00F304A4">
            <w:pPr>
              <w:pStyle w:val="5Normal"/>
              <w:rPr>
                <w:szCs w:val="24"/>
              </w:rPr>
            </w:pPr>
            <w:r>
              <w:rPr>
                <w:szCs w:val="24"/>
                <w:lang w:val="hu-HU"/>
              </w:rPr>
              <w:t>Ausztria</w:t>
            </w:r>
          </w:p>
        </w:tc>
        <w:tc>
          <w:tcPr>
            <w:tcW w:w="2520" w:type="dxa"/>
            <w:gridSpan w:val="2"/>
          </w:tcPr>
          <w:p w:rsidR="00DD0E24" w:rsidRDefault="00DD0E24" w:rsidP="00F304A4">
            <w:pPr>
              <w:pStyle w:val="5Normal"/>
              <w:jc w:val="center"/>
              <w:rPr>
                <w:szCs w:val="24"/>
              </w:rPr>
            </w:pPr>
            <w:r>
              <w:rPr>
                <w:szCs w:val="24"/>
              </w:rPr>
              <w:t>0,1</w:t>
            </w:r>
          </w:p>
        </w:tc>
        <w:tc>
          <w:tcPr>
            <w:tcW w:w="2583" w:type="dxa"/>
            <w:gridSpan w:val="2"/>
          </w:tcPr>
          <w:p w:rsidR="00DD0E24" w:rsidRDefault="00DD0E24" w:rsidP="00F304A4">
            <w:pPr>
              <w:pStyle w:val="5Normal"/>
              <w:jc w:val="center"/>
              <w:rPr>
                <w:szCs w:val="24"/>
              </w:rPr>
            </w:pPr>
            <w:r>
              <w:rPr>
                <w:szCs w:val="24"/>
              </w:rPr>
              <w:t>5,5</w:t>
            </w:r>
          </w:p>
        </w:tc>
      </w:tr>
      <w:tr w:rsidR="00DD0E24" w:rsidTr="00F304A4">
        <w:tc>
          <w:tcPr>
            <w:tcW w:w="2448" w:type="dxa"/>
          </w:tcPr>
          <w:p w:rsidR="00DD0E24" w:rsidRDefault="00DD0E24" w:rsidP="00F304A4">
            <w:pPr>
              <w:pStyle w:val="5Normal"/>
              <w:rPr>
                <w:szCs w:val="24"/>
              </w:rPr>
            </w:pPr>
            <w:r>
              <w:rPr>
                <w:szCs w:val="24"/>
                <w:lang w:val="hu-HU"/>
              </w:rPr>
              <w:t>Belgium</w:t>
            </w:r>
          </w:p>
        </w:tc>
        <w:tc>
          <w:tcPr>
            <w:tcW w:w="2520" w:type="dxa"/>
            <w:gridSpan w:val="2"/>
          </w:tcPr>
          <w:p w:rsidR="00DD0E24" w:rsidRDefault="00DD0E24" w:rsidP="00F304A4">
            <w:pPr>
              <w:pStyle w:val="5Normal"/>
              <w:jc w:val="center"/>
              <w:rPr>
                <w:szCs w:val="24"/>
              </w:rPr>
            </w:pPr>
            <w:r>
              <w:rPr>
                <w:szCs w:val="24"/>
              </w:rPr>
              <w:t>0,0</w:t>
            </w:r>
          </w:p>
        </w:tc>
        <w:tc>
          <w:tcPr>
            <w:tcW w:w="2583" w:type="dxa"/>
            <w:gridSpan w:val="2"/>
          </w:tcPr>
          <w:p w:rsidR="00DD0E24" w:rsidRDefault="00DD0E24" w:rsidP="00F304A4">
            <w:pPr>
              <w:pStyle w:val="5Normal"/>
              <w:jc w:val="center"/>
              <w:rPr>
                <w:szCs w:val="24"/>
              </w:rPr>
            </w:pPr>
            <w:r>
              <w:rPr>
                <w:szCs w:val="24"/>
              </w:rPr>
              <w:t>1,1</w:t>
            </w:r>
          </w:p>
        </w:tc>
      </w:tr>
      <w:tr w:rsidR="00DD0E24" w:rsidTr="00F304A4">
        <w:tc>
          <w:tcPr>
            <w:tcW w:w="2448" w:type="dxa"/>
          </w:tcPr>
          <w:p w:rsidR="00DD0E24" w:rsidRDefault="00DD0E24" w:rsidP="00F304A4">
            <w:pPr>
              <w:pStyle w:val="5Normal"/>
              <w:rPr>
                <w:szCs w:val="24"/>
              </w:rPr>
            </w:pPr>
            <w:r>
              <w:rPr>
                <w:szCs w:val="24"/>
                <w:lang w:val="hu-HU"/>
              </w:rPr>
              <w:t>Bulgária</w:t>
            </w:r>
          </w:p>
        </w:tc>
        <w:tc>
          <w:tcPr>
            <w:tcW w:w="2520" w:type="dxa"/>
            <w:gridSpan w:val="2"/>
          </w:tcPr>
          <w:p w:rsidR="00DD0E24" w:rsidRDefault="00DD0E24" w:rsidP="00F304A4">
            <w:pPr>
              <w:pStyle w:val="5Normal"/>
              <w:jc w:val="center"/>
              <w:rPr>
                <w:szCs w:val="24"/>
              </w:rPr>
            </w:pPr>
            <w:r>
              <w:rPr>
                <w:szCs w:val="24"/>
              </w:rPr>
              <w:t>-</w:t>
            </w:r>
          </w:p>
        </w:tc>
        <w:tc>
          <w:tcPr>
            <w:tcW w:w="2583" w:type="dxa"/>
            <w:gridSpan w:val="2"/>
          </w:tcPr>
          <w:p w:rsidR="00DD0E24" w:rsidRDefault="00DD0E24" w:rsidP="00F304A4">
            <w:pPr>
              <w:pStyle w:val="5Normal"/>
              <w:jc w:val="center"/>
              <w:rPr>
                <w:szCs w:val="24"/>
              </w:rPr>
            </w:pPr>
            <w:r>
              <w:rPr>
                <w:szCs w:val="24"/>
              </w:rPr>
              <w:t>0,2</w:t>
            </w:r>
            <w:r>
              <w:rPr>
                <w:rStyle w:val="Lbjegyzet-hivatkozs"/>
                <w:noProof/>
                <w:szCs w:val="24"/>
              </w:rPr>
              <w:footnoteReference w:id="2"/>
            </w:r>
          </w:p>
        </w:tc>
      </w:tr>
      <w:tr w:rsidR="00DD0E24" w:rsidTr="00F304A4">
        <w:tc>
          <w:tcPr>
            <w:tcW w:w="2448" w:type="dxa"/>
          </w:tcPr>
          <w:p w:rsidR="00DD0E24" w:rsidRDefault="00DD0E24" w:rsidP="00F304A4">
            <w:pPr>
              <w:pStyle w:val="5Normal"/>
              <w:rPr>
                <w:szCs w:val="24"/>
              </w:rPr>
            </w:pPr>
            <w:r>
              <w:rPr>
                <w:szCs w:val="24"/>
                <w:lang w:val="hu-HU"/>
              </w:rPr>
              <w:t>Ciprus</w:t>
            </w:r>
          </w:p>
        </w:tc>
        <w:tc>
          <w:tcPr>
            <w:tcW w:w="2520" w:type="dxa"/>
            <w:gridSpan w:val="2"/>
          </w:tcPr>
          <w:p w:rsidR="00DD0E24" w:rsidRDefault="00DD0E24" w:rsidP="00F304A4">
            <w:pPr>
              <w:pStyle w:val="5Normal"/>
              <w:jc w:val="center"/>
              <w:rPr>
                <w:szCs w:val="24"/>
              </w:rPr>
            </w:pPr>
            <w:r>
              <w:rPr>
                <w:szCs w:val="24"/>
              </w:rPr>
              <w:t>0,0</w:t>
            </w:r>
          </w:p>
        </w:tc>
        <w:tc>
          <w:tcPr>
            <w:tcW w:w="2583" w:type="dxa"/>
            <w:gridSpan w:val="2"/>
          </w:tcPr>
          <w:p w:rsidR="00DD0E24" w:rsidRDefault="00DD0E24" w:rsidP="00F304A4">
            <w:pPr>
              <w:pStyle w:val="5Normal"/>
              <w:jc w:val="center"/>
              <w:rPr>
                <w:szCs w:val="24"/>
              </w:rPr>
            </w:pPr>
            <w:r>
              <w:rPr>
                <w:szCs w:val="24"/>
              </w:rPr>
              <w:t>1,3</w:t>
            </w:r>
          </w:p>
        </w:tc>
      </w:tr>
      <w:tr w:rsidR="00DD0E24" w:rsidTr="00F304A4">
        <w:tc>
          <w:tcPr>
            <w:tcW w:w="2448" w:type="dxa"/>
          </w:tcPr>
          <w:p w:rsidR="00DD0E24" w:rsidRDefault="00DD0E24" w:rsidP="00F304A4">
            <w:pPr>
              <w:pStyle w:val="5Normal"/>
              <w:rPr>
                <w:szCs w:val="24"/>
              </w:rPr>
            </w:pPr>
            <w:r>
              <w:rPr>
                <w:szCs w:val="24"/>
                <w:lang w:val="hu-HU"/>
              </w:rPr>
              <w:t>Cseh Köztársaság</w:t>
            </w:r>
          </w:p>
        </w:tc>
        <w:tc>
          <w:tcPr>
            <w:tcW w:w="2520" w:type="dxa"/>
            <w:gridSpan w:val="2"/>
          </w:tcPr>
          <w:p w:rsidR="00DD0E24" w:rsidRDefault="00DD0E24" w:rsidP="00F304A4">
            <w:pPr>
              <w:pStyle w:val="5Normal"/>
              <w:jc w:val="center"/>
              <w:rPr>
                <w:szCs w:val="24"/>
              </w:rPr>
            </w:pPr>
            <w:r>
              <w:rPr>
                <w:szCs w:val="24"/>
              </w:rPr>
              <w:t>1,1</w:t>
            </w:r>
          </w:p>
        </w:tc>
        <w:tc>
          <w:tcPr>
            <w:tcW w:w="2583" w:type="dxa"/>
            <w:gridSpan w:val="2"/>
          </w:tcPr>
          <w:p w:rsidR="00DD0E24" w:rsidRDefault="00DD0E24" w:rsidP="00F304A4">
            <w:pPr>
              <w:pStyle w:val="5Normal"/>
              <w:jc w:val="center"/>
              <w:rPr>
                <w:szCs w:val="24"/>
              </w:rPr>
            </w:pPr>
            <w:r>
              <w:rPr>
                <w:szCs w:val="24"/>
              </w:rPr>
              <w:t>1,3</w:t>
            </w:r>
          </w:p>
        </w:tc>
      </w:tr>
      <w:tr w:rsidR="00DD0E24" w:rsidTr="00F304A4">
        <w:tc>
          <w:tcPr>
            <w:tcW w:w="2448" w:type="dxa"/>
          </w:tcPr>
          <w:p w:rsidR="00DD0E24" w:rsidRDefault="00DD0E24" w:rsidP="00F304A4">
            <w:pPr>
              <w:pStyle w:val="5Normal"/>
              <w:rPr>
                <w:szCs w:val="24"/>
              </w:rPr>
            </w:pPr>
            <w:r>
              <w:rPr>
                <w:szCs w:val="24"/>
                <w:lang w:val="hu-HU"/>
              </w:rPr>
              <w:t>Dánia</w:t>
            </w:r>
          </w:p>
        </w:tc>
        <w:tc>
          <w:tcPr>
            <w:tcW w:w="2520" w:type="dxa"/>
            <w:gridSpan w:val="2"/>
          </w:tcPr>
          <w:p w:rsidR="00DD0E24" w:rsidRDefault="00DD0E24" w:rsidP="00F304A4">
            <w:pPr>
              <w:pStyle w:val="5Normal"/>
              <w:jc w:val="center"/>
              <w:rPr>
                <w:szCs w:val="24"/>
              </w:rPr>
            </w:pPr>
            <w:r>
              <w:rPr>
                <w:szCs w:val="24"/>
              </w:rPr>
              <w:t>0,0</w:t>
            </w:r>
          </w:p>
        </w:tc>
        <w:tc>
          <w:tcPr>
            <w:tcW w:w="2583" w:type="dxa"/>
            <w:gridSpan w:val="2"/>
          </w:tcPr>
          <w:p w:rsidR="00DD0E24" w:rsidRDefault="00DD0E24" w:rsidP="00F304A4">
            <w:pPr>
              <w:pStyle w:val="5Normal"/>
              <w:jc w:val="center"/>
              <w:rPr>
                <w:szCs w:val="24"/>
              </w:rPr>
            </w:pPr>
            <w:r>
              <w:rPr>
                <w:szCs w:val="24"/>
              </w:rPr>
              <w:t>0,2</w:t>
            </w:r>
            <w:r>
              <w:rPr>
                <w:rStyle w:val="Lbjegyzet-hivatkozs"/>
                <w:noProof/>
                <w:szCs w:val="24"/>
              </w:rPr>
              <w:footnoteReference w:id="3"/>
            </w:r>
          </w:p>
        </w:tc>
      </w:tr>
      <w:tr w:rsidR="00DD0E24" w:rsidTr="00F304A4">
        <w:tc>
          <w:tcPr>
            <w:tcW w:w="2448" w:type="dxa"/>
          </w:tcPr>
          <w:p w:rsidR="00DD0E24" w:rsidRDefault="00DD0E24" w:rsidP="00F304A4">
            <w:pPr>
              <w:pStyle w:val="5Normal"/>
              <w:rPr>
                <w:szCs w:val="24"/>
              </w:rPr>
            </w:pPr>
            <w:r>
              <w:rPr>
                <w:szCs w:val="24"/>
                <w:lang w:val="hu-HU"/>
              </w:rPr>
              <w:t>Észtország</w:t>
            </w:r>
          </w:p>
        </w:tc>
        <w:tc>
          <w:tcPr>
            <w:tcW w:w="2520" w:type="dxa"/>
            <w:gridSpan w:val="2"/>
          </w:tcPr>
          <w:p w:rsidR="00DD0E24" w:rsidRDefault="00DD0E24" w:rsidP="00F304A4">
            <w:pPr>
              <w:pStyle w:val="5Normal"/>
              <w:jc w:val="center"/>
              <w:rPr>
                <w:szCs w:val="24"/>
              </w:rPr>
            </w:pPr>
            <w:r>
              <w:rPr>
                <w:szCs w:val="24"/>
              </w:rPr>
              <w:t>0,0</w:t>
            </w:r>
          </w:p>
        </w:tc>
        <w:tc>
          <w:tcPr>
            <w:tcW w:w="2583" w:type="dxa"/>
            <w:gridSpan w:val="2"/>
          </w:tcPr>
          <w:p w:rsidR="00DD0E24" w:rsidRDefault="00DD0E24" w:rsidP="00F304A4">
            <w:pPr>
              <w:pStyle w:val="5Normal"/>
              <w:jc w:val="center"/>
              <w:rPr>
                <w:szCs w:val="24"/>
              </w:rPr>
            </w:pPr>
            <w:r>
              <w:rPr>
                <w:szCs w:val="24"/>
              </w:rPr>
              <w:t>0,6</w:t>
            </w:r>
          </w:p>
        </w:tc>
      </w:tr>
      <w:tr w:rsidR="00DD0E24" w:rsidTr="00F304A4">
        <w:tc>
          <w:tcPr>
            <w:tcW w:w="2448" w:type="dxa"/>
          </w:tcPr>
          <w:p w:rsidR="00DD0E24" w:rsidRDefault="00DD0E24" w:rsidP="00F304A4">
            <w:pPr>
              <w:pStyle w:val="5Normal"/>
              <w:rPr>
                <w:szCs w:val="24"/>
              </w:rPr>
            </w:pPr>
            <w:r>
              <w:rPr>
                <w:szCs w:val="24"/>
                <w:lang w:val="hu-HU"/>
              </w:rPr>
              <w:t>Finnország</w:t>
            </w:r>
          </w:p>
        </w:tc>
        <w:tc>
          <w:tcPr>
            <w:tcW w:w="2520" w:type="dxa"/>
            <w:gridSpan w:val="2"/>
          </w:tcPr>
          <w:p w:rsidR="00DD0E24" w:rsidRDefault="00DD0E24" w:rsidP="00F304A4">
            <w:pPr>
              <w:pStyle w:val="5Normal"/>
              <w:jc w:val="center"/>
              <w:rPr>
                <w:szCs w:val="24"/>
              </w:rPr>
            </w:pPr>
            <w:r>
              <w:rPr>
                <w:szCs w:val="24"/>
              </w:rPr>
              <w:t>0,1</w:t>
            </w:r>
          </w:p>
        </w:tc>
        <w:tc>
          <w:tcPr>
            <w:tcW w:w="2583" w:type="dxa"/>
            <w:gridSpan w:val="2"/>
          </w:tcPr>
          <w:p w:rsidR="00DD0E24" w:rsidRDefault="00DD0E24" w:rsidP="00F304A4">
            <w:pPr>
              <w:pStyle w:val="5Normal"/>
              <w:jc w:val="center"/>
              <w:rPr>
                <w:szCs w:val="24"/>
              </w:rPr>
            </w:pPr>
            <w:r>
              <w:rPr>
                <w:szCs w:val="24"/>
              </w:rPr>
              <w:t>2,1</w:t>
            </w:r>
          </w:p>
        </w:tc>
      </w:tr>
      <w:tr w:rsidR="00DD0E24" w:rsidTr="00F304A4">
        <w:tc>
          <w:tcPr>
            <w:tcW w:w="2448" w:type="dxa"/>
          </w:tcPr>
          <w:p w:rsidR="00DD0E24" w:rsidRDefault="00DD0E24" w:rsidP="00F304A4">
            <w:pPr>
              <w:pStyle w:val="5Normal"/>
              <w:rPr>
                <w:szCs w:val="24"/>
              </w:rPr>
            </w:pPr>
            <w:r>
              <w:rPr>
                <w:szCs w:val="24"/>
                <w:lang w:val="hu-HU"/>
              </w:rPr>
              <w:t>Franciaország</w:t>
            </w:r>
          </w:p>
        </w:tc>
        <w:tc>
          <w:tcPr>
            <w:tcW w:w="2520" w:type="dxa"/>
            <w:gridSpan w:val="2"/>
          </w:tcPr>
          <w:p w:rsidR="00DD0E24" w:rsidRDefault="00DD0E24" w:rsidP="00F304A4">
            <w:pPr>
              <w:pStyle w:val="5Normal"/>
              <w:jc w:val="center"/>
              <w:rPr>
                <w:szCs w:val="24"/>
              </w:rPr>
            </w:pPr>
            <w:r>
              <w:rPr>
                <w:szCs w:val="24"/>
              </w:rPr>
              <w:t>0,7</w:t>
            </w:r>
          </w:p>
        </w:tc>
        <w:tc>
          <w:tcPr>
            <w:tcW w:w="2583" w:type="dxa"/>
            <w:gridSpan w:val="2"/>
          </w:tcPr>
          <w:p w:rsidR="00DD0E24" w:rsidRDefault="00DD0E24" w:rsidP="00F304A4">
            <w:pPr>
              <w:pStyle w:val="5Normal"/>
              <w:jc w:val="center"/>
              <w:rPr>
                <w:szCs w:val="24"/>
              </w:rPr>
            </w:pPr>
            <w:r>
              <w:rPr>
                <w:szCs w:val="24"/>
              </w:rPr>
              <w:t>5,7</w:t>
            </w:r>
          </w:p>
        </w:tc>
      </w:tr>
      <w:tr w:rsidR="00DD0E24" w:rsidTr="00F304A4">
        <w:tc>
          <w:tcPr>
            <w:tcW w:w="2448" w:type="dxa"/>
          </w:tcPr>
          <w:p w:rsidR="00DD0E24" w:rsidRDefault="00DD0E24" w:rsidP="00F304A4">
            <w:pPr>
              <w:pStyle w:val="5Normal"/>
              <w:rPr>
                <w:szCs w:val="24"/>
              </w:rPr>
            </w:pPr>
            <w:r>
              <w:rPr>
                <w:szCs w:val="24"/>
                <w:lang w:val="hu-HU"/>
              </w:rPr>
              <w:t>Németország</w:t>
            </w:r>
          </w:p>
        </w:tc>
        <w:tc>
          <w:tcPr>
            <w:tcW w:w="2520" w:type="dxa"/>
            <w:gridSpan w:val="2"/>
          </w:tcPr>
          <w:p w:rsidR="00DD0E24" w:rsidRDefault="00DD0E24" w:rsidP="00F304A4">
            <w:pPr>
              <w:pStyle w:val="5Normal"/>
              <w:jc w:val="center"/>
              <w:rPr>
                <w:szCs w:val="24"/>
              </w:rPr>
            </w:pPr>
            <w:r>
              <w:rPr>
                <w:szCs w:val="24"/>
              </w:rPr>
              <w:t>1,2</w:t>
            </w:r>
          </w:p>
        </w:tc>
        <w:tc>
          <w:tcPr>
            <w:tcW w:w="2583" w:type="dxa"/>
            <w:gridSpan w:val="2"/>
          </w:tcPr>
          <w:p w:rsidR="00DD0E24" w:rsidRDefault="00DD0E24" w:rsidP="00F304A4">
            <w:pPr>
              <w:pStyle w:val="5Normal"/>
              <w:jc w:val="center"/>
              <w:rPr>
                <w:szCs w:val="24"/>
              </w:rPr>
            </w:pPr>
            <w:r>
              <w:rPr>
                <w:szCs w:val="24"/>
              </w:rPr>
              <w:t>6,0</w:t>
            </w:r>
          </w:p>
        </w:tc>
      </w:tr>
      <w:tr w:rsidR="00DD0E24" w:rsidTr="00F304A4">
        <w:tc>
          <w:tcPr>
            <w:tcW w:w="2448" w:type="dxa"/>
          </w:tcPr>
          <w:p w:rsidR="00DD0E24" w:rsidRDefault="00DD0E24" w:rsidP="00F304A4">
            <w:pPr>
              <w:pStyle w:val="5Normal"/>
              <w:rPr>
                <w:szCs w:val="24"/>
              </w:rPr>
            </w:pPr>
            <w:r>
              <w:rPr>
                <w:szCs w:val="24"/>
                <w:lang w:val="hu-HU"/>
              </w:rPr>
              <w:t>Görögország</w:t>
            </w:r>
          </w:p>
        </w:tc>
        <w:tc>
          <w:tcPr>
            <w:tcW w:w="2520" w:type="dxa"/>
            <w:gridSpan w:val="2"/>
          </w:tcPr>
          <w:p w:rsidR="00DD0E24" w:rsidRDefault="00DD0E24" w:rsidP="00F304A4">
            <w:pPr>
              <w:pStyle w:val="5Normal"/>
              <w:jc w:val="center"/>
              <w:rPr>
                <w:szCs w:val="24"/>
              </w:rPr>
            </w:pPr>
            <w:r>
              <w:rPr>
                <w:szCs w:val="24"/>
              </w:rPr>
              <w:t>0,0</w:t>
            </w:r>
          </w:p>
        </w:tc>
        <w:tc>
          <w:tcPr>
            <w:tcW w:w="2583" w:type="dxa"/>
            <w:gridSpan w:val="2"/>
          </w:tcPr>
          <w:p w:rsidR="00DD0E24" w:rsidRDefault="00DD0E24" w:rsidP="00F304A4">
            <w:pPr>
              <w:pStyle w:val="5Normal"/>
              <w:jc w:val="center"/>
              <w:rPr>
                <w:szCs w:val="24"/>
              </w:rPr>
            </w:pPr>
            <w:r>
              <w:rPr>
                <w:szCs w:val="24"/>
              </w:rPr>
              <w:t>1,0</w:t>
            </w:r>
          </w:p>
        </w:tc>
      </w:tr>
      <w:tr w:rsidR="00DD0E24" w:rsidTr="00F304A4">
        <w:tc>
          <w:tcPr>
            <w:tcW w:w="2448" w:type="dxa"/>
          </w:tcPr>
          <w:p w:rsidR="00DD0E24" w:rsidRDefault="00DD0E24" w:rsidP="00F304A4">
            <w:pPr>
              <w:pStyle w:val="5Normal"/>
              <w:rPr>
                <w:szCs w:val="24"/>
              </w:rPr>
            </w:pPr>
            <w:r>
              <w:rPr>
                <w:szCs w:val="24"/>
                <w:lang w:val="hu-HU"/>
              </w:rPr>
              <w:t>Magyarország</w:t>
            </w:r>
          </w:p>
        </w:tc>
        <w:tc>
          <w:tcPr>
            <w:tcW w:w="2520" w:type="dxa"/>
            <w:gridSpan w:val="2"/>
          </w:tcPr>
          <w:p w:rsidR="00DD0E24" w:rsidRDefault="00DD0E24" w:rsidP="00F304A4">
            <w:pPr>
              <w:pStyle w:val="5Normal"/>
              <w:jc w:val="center"/>
              <w:rPr>
                <w:szCs w:val="24"/>
              </w:rPr>
            </w:pPr>
            <w:r>
              <w:rPr>
                <w:szCs w:val="24"/>
              </w:rPr>
              <w:t>0,0</w:t>
            </w:r>
          </w:p>
        </w:tc>
        <w:tc>
          <w:tcPr>
            <w:tcW w:w="2583" w:type="dxa"/>
            <w:gridSpan w:val="2"/>
          </w:tcPr>
          <w:p w:rsidR="00DD0E24" w:rsidRDefault="00DD0E24" w:rsidP="00F304A4">
            <w:pPr>
              <w:pStyle w:val="5Normal"/>
              <w:jc w:val="center"/>
              <w:rPr>
                <w:szCs w:val="24"/>
              </w:rPr>
            </w:pPr>
            <w:r>
              <w:rPr>
                <w:szCs w:val="24"/>
              </w:rPr>
              <w:t>3,5</w:t>
            </w:r>
          </w:p>
        </w:tc>
      </w:tr>
      <w:tr w:rsidR="00DD0E24" w:rsidTr="00F304A4">
        <w:tc>
          <w:tcPr>
            <w:tcW w:w="2448" w:type="dxa"/>
          </w:tcPr>
          <w:p w:rsidR="00DD0E24" w:rsidRDefault="00DD0E24" w:rsidP="00F304A4">
            <w:pPr>
              <w:pStyle w:val="5Normal"/>
              <w:rPr>
                <w:szCs w:val="24"/>
              </w:rPr>
            </w:pPr>
            <w:r>
              <w:rPr>
                <w:szCs w:val="24"/>
                <w:lang w:val="hu-HU"/>
              </w:rPr>
              <w:t>Írország</w:t>
            </w:r>
          </w:p>
        </w:tc>
        <w:tc>
          <w:tcPr>
            <w:tcW w:w="2520" w:type="dxa"/>
            <w:gridSpan w:val="2"/>
          </w:tcPr>
          <w:p w:rsidR="00DD0E24" w:rsidRDefault="00DD0E24" w:rsidP="00F304A4">
            <w:pPr>
              <w:pStyle w:val="5Normal"/>
              <w:jc w:val="center"/>
              <w:rPr>
                <w:szCs w:val="24"/>
              </w:rPr>
            </w:pPr>
            <w:r>
              <w:rPr>
                <w:szCs w:val="24"/>
              </w:rPr>
              <w:t>0,0</w:t>
            </w:r>
          </w:p>
        </w:tc>
        <w:tc>
          <w:tcPr>
            <w:tcW w:w="2583" w:type="dxa"/>
            <w:gridSpan w:val="2"/>
          </w:tcPr>
          <w:p w:rsidR="00DD0E24" w:rsidRDefault="00DD0E24" w:rsidP="00F304A4">
            <w:pPr>
              <w:pStyle w:val="5Normal"/>
              <w:jc w:val="center"/>
              <w:rPr>
                <w:szCs w:val="24"/>
              </w:rPr>
            </w:pPr>
            <w:r>
              <w:rPr>
                <w:szCs w:val="24"/>
              </w:rPr>
              <w:t>1,6</w:t>
            </w:r>
          </w:p>
        </w:tc>
      </w:tr>
      <w:tr w:rsidR="00DD0E24" w:rsidTr="00F304A4">
        <w:tc>
          <w:tcPr>
            <w:tcW w:w="2448" w:type="dxa"/>
          </w:tcPr>
          <w:p w:rsidR="00DD0E24" w:rsidRDefault="00DD0E24" w:rsidP="00F304A4">
            <w:pPr>
              <w:pStyle w:val="5Normal"/>
              <w:rPr>
                <w:szCs w:val="24"/>
              </w:rPr>
            </w:pPr>
            <w:r>
              <w:rPr>
                <w:szCs w:val="24"/>
                <w:lang w:val="hu-HU"/>
              </w:rPr>
              <w:t>Olaszország</w:t>
            </w:r>
          </w:p>
        </w:tc>
        <w:tc>
          <w:tcPr>
            <w:tcW w:w="2520" w:type="dxa"/>
            <w:gridSpan w:val="2"/>
          </w:tcPr>
          <w:p w:rsidR="00DD0E24" w:rsidRDefault="00DD0E24" w:rsidP="00F304A4">
            <w:pPr>
              <w:pStyle w:val="5Normal"/>
              <w:jc w:val="center"/>
              <w:rPr>
                <w:szCs w:val="24"/>
              </w:rPr>
            </w:pPr>
            <w:r>
              <w:rPr>
                <w:szCs w:val="24"/>
              </w:rPr>
              <w:t>0,5</w:t>
            </w:r>
          </w:p>
        </w:tc>
        <w:tc>
          <w:tcPr>
            <w:tcW w:w="2583" w:type="dxa"/>
            <w:gridSpan w:val="2"/>
          </w:tcPr>
          <w:p w:rsidR="00DD0E24" w:rsidRDefault="00DD0E24" w:rsidP="00F304A4">
            <w:pPr>
              <w:pStyle w:val="5Normal"/>
              <w:jc w:val="center"/>
              <w:rPr>
                <w:szCs w:val="24"/>
              </w:rPr>
            </w:pPr>
            <w:r>
              <w:rPr>
                <w:szCs w:val="24"/>
              </w:rPr>
              <w:t>0,6</w:t>
            </w:r>
          </w:p>
        </w:tc>
      </w:tr>
      <w:tr w:rsidR="00DD0E24" w:rsidTr="00F304A4">
        <w:tc>
          <w:tcPr>
            <w:tcW w:w="2448" w:type="dxa"/>
          </w:tcPr>
          <w:p w:rsidR="00DD0E24" w:rsidRDefault="00DD0E24" w:rsidP="00F304A4">
            <w:pPr>
              <w:pStyle w:val="5Normal"/>
              <w:rPr>
                <w:szCs w:val="24"/>
              </w:rPr>
            </w:pPr>
            <w:r>
              <w:rPr>
                <w:szCs w:val="24"/>
                <w:lang w:val="hu-HU"/>
              </w:rPr>
              <w:t>Lettország</w:t>
            </w:r>
          </w:p>
        </w:tc>
        <w:tc>
          <w:tcPr>
            <w:tcW w:w="2520" w:type="dxa"/>
            <w:gridSpan w:val="2"/>
          </w:tcPr>
          <w:p w:rsidR="00DD0E24" w:rsidRDefault="00DD0E24" w:rsidP="00F304A4">
            <w:pPr>
              <w:pStyle w:val="5Normal"/>
              <w:jc w:val="center"/>
              <w:rPr>
                <w:szCs w:val="24"/>
              </w:rPr>
            </w:pPr>
            <w:r>
              <w:rPr>
                <w:szCs w:val="24"/>
              </w:rPr>
              <w:t>0,2</w:t>
            </w:r>
          </w:p>
        </w:tc>
        <w:tc>
          <w:tcPr>
            <w:tcW w:w="2583" w:type="dxa"/>
            <w:gridSpan w:val="2"/>
          </w:tcPr>
          <w:p w:rsidR="00DD0E24" w:rsidRDefault="00DD0E24" w:rsidP="00F304A4">
            <w:pPr>
              <w:pStyle w:val="5Normal"/>
              <w:jc w:val="center"/>
              <w:rPr>
                <w:szCs w:val="24"/>
              </w:rPr>
            </w:pPr>
            <w:r>
              <w:rPr>
                <w:szCs w:val="24"/>
              </w:rPr>
              <w:t>0,2</w:t>
            </w:r>
          </w:p>
        </w:tc>
      </w:tr>
      <w:tr w:rsidR="00DD0E24" w:rsidTr="00F304A4">
        <w:tc>
          <w:tcPr>
            <w:tcW w:w="2448" w:type="dxa"/>
          </w:tcPr>
          <w:p w:rsidR="00DD0E24" w:rsidRDefault="00DD0E24" w:rsidP="00F304A4">
            <w:pPr>
              <w:pStyle w:val="5Normal"/>
              <w:rPr>
                <w:szCs w:val="24"/>
              </w:rPr>
            </w:pPr>
            <w:r>
              <w:rPr>
                <w:szCs w:val="24"/>
                <w:lang w:val="hu-HU"/>
              </w:rPr>
              <w:t>Litvánia</w:t>
            </w:r>
          </w:p>
        </w:tc>
        <w:tc>
          <w:tcPr>
            <w:tcW w:w="2520" w:type="dxa"/>
            <w:gridSpan w:val="2"/>
          </w:tcPr>
          <w:p w:rsidR="00DD0E24" w:rsidRDefault="00DD0E24" w:rsidP="00F304A4">
            <w:pPr>
              <w:pStyle w:val="5Normal"/>
              <w:jc w:val="center"/>
              <w:rPr>
                <w:szCs w:val="24"/>
              </w:rPr>
            </w:pPr>
            <w:r>
              <w:rPr>
                <w:szCs w:val="24"/>
              </w:rPr>
              <w:t>0,0</w:t>
            </w:r>
          </w:p>
        </w:tc>
        <w:tc>
          <w:tcPr>
            <w:tcW w:w="2583" w:type="dxa"/>
            <w:gridSpan w:val="2"/>
          </w:tcPr>
          <w:p w:rsidR="00DD0E24" w:rsidRDefault="00DD0E24" w:rsidP="00F304A4">
            <w:pPr>
              <w:pStyle w:val="5Normal"/>
              <w:jc w:val="center"/>
              <w:rPr>
                <w:szCs w:val="24"/>
              </w:rPr>
            </w:pPr>
            <w:r>
              <w:rPr>
                <w:szCs w:val="24"/>
              </w:rPr>
              <w:t>4,3</w:t>
            </w:r>
          </w:p>
        </w:tc>
      </w:tr>
      <w:tr w:rsidR="00DD0E24" w:rsidTr="00F304A4">
        <w:tc>
          <w:tcPr>
            <w:tcW w:w="2448" w:type="dxa"/>
          </w:tcPr>
          <w:p w:rsidR="00DD0E24" w:rsidRDefault="00DD0E24" w:rsidP="00F304A4">
            <w:pPr>
              <w:pStyle w:val="5Normal"/>
              <w:rPr>
                <w:szCs w:val="24"/>
              </w:rPr>
            </w:pPr>
            <w:r>
              <w:rPr>
                <w:szCs w:val="24"/>
                <w:lang w:val="hu-HU"/>
              </w:rPr>
              <w:t>Luxemburg</w:t>
            </w:r>
          </w:p>
        </w:tc>
        <w:tc>
          <w:tcPr>
            <w:tcW w:w="2520" w:type="dxa"/>
            <w:gridSpan w:val="2"/>
          </w:tcPr>
          <w:p w:rsidR="00DD0E24" w:rsidRDefault="00DD0E24" w:rsidP="00F304A4">
            <w:pPr>
              <w:pStyle w:val="5Normal"/>
              <w:jc w:val="center"/>
              <w:rPr>
                <w:szCs w:val="24"/>
              </w:rPr>
            </w:pPr>
            <w:r>
              <w:rPr>
                <w:szCs w:val="24"/>
              </w:rPr>
              <w:t>0,0</w:t>
            </w:r>
          </w:p>
        </w:tc>
        <w:tc>
          <w:tcPr>
            <w:tcW w:w="2583" w:type="dxa"/>
            <w:gridSpan w:val="2"/>
          </w:tcPr>
          <w:p w:rsidR="00DD0E24" w:rsidRDefault="00DD0E24" w:rsidP="00F304A4">
            <w:pPr>
              <w:pStyle w:val="5Normal"/>
              <w:jc w:val="center"/>
              <w:rPr>
                <w:szCs w:val="24"/>
              </w:rPr>
            </w:pPr>
            <w:r>
              <w:rPr>
                <w:szCs w:val="24"/>
              </w:rPr>
              <w:t>2,0</w:t>
            </w:r>
          </w:p>
        </w:tc>
      </w:tr>
      <w:tr w:rsidR="00DD0E24" w:rsidTr="00F304A4">
        <w:tc>
          <w:tcPr>
            <w:tcW w:w="2448" w:type="dxa"/>
          </w:tcPr>
          <w:p w:rsidR="00DD0E24" w:rsidRDefault="00DD0E24" w:rsidP="00F304A4">
            <w:pPr>
              <w:pStyle w:val="5Normal"/>
              <w:rPr>
                <w:szCs w:val="24"/>
              </w:rPr>
            </w:pPr>
            <w:r>
              <w:rPr>
                <w:szCs w:val="24"/>
                <w:lang w:val="hu-HU"/>
              </w:rPr>
              <w:t>Málta</w:t>
            </w:r>
          </w:p>
        </w:tc>
        <w:tc>
          <w:tcPr>
            <w:tcW w:w="2520" w:type="dxa"/>
            <w:gridSpan w:val="2"/>
          </w:tcPr>
          <w:p w:rsidR="00DD0E24" w:rsidRDefault="00DD0E24" w:rsidP="00F304A4">
            <w:pPr>
              <w:pStyle w:val="5Normal"/>
              <w:jc w:val="center"/>
              <w:rPr>
                <w:szCs w:val="24"/>
              </w:rPr>
            </w:pPr>
            <w:r>
              <w:rPr>
                <w:szCs w:val="24"/>
              </w:rPr>
              <w:t>0,0</w:t>
            </w:r>
          </w:p>
        </w:tc>
        <w:tc>
          <w:tcPr>
            <w:tcW w:w="2583" w:type="dxa"/>
            <w:gridSpan w:val="2"/>
          </w:tcPr>
          <w:p w:rsidR="00DD0E24" w:rsidRDefault="00DD0E24" w:rsidP="00F304A4">
            <w:pPr>
              <w:pStyle w:val="5Normal"/>
              <w:jc w:val="center"/>
              <w:rPr>
                <w:szCs w:val="24"/>
              </w:rPr>
            </w:pPr>
            <w:r>
              <w:rPr>
                <w:szCs w:val="24"/>
              </w:rPr>
              <w:t>0,4</w:t>
            </w:r>
            <w:r>
              <w:rPr>
                <w:rStyle w:val="Lbjegyzet-hivatkozs"/>
                <w:noProof/>
                <w:szCs w:val="24"/>
              </w:rPr>
              <w:footnoteReference w:id="4"/>
            </w:r>
          </w:p>
        </w:tc>
      </w:tr>
      <w:tr w:rsidR="00DD0E24" w:rsidTr="00F304A4">
        <w:tc>
          <w:tcPr>
            <w:tcW w:w="2448" w:type="dxa"/>
          </w:tcPr>
          <w:p w:rsidR="00DD0E24" w:rsidRDefault="00DD0E24" w:rsidP="00F304A4">
            <w:pPr>
              <w:pStyle w:val="5Normal"/>
              <w:rPr>
                <w:szCs w:val="24"/>
              </w:rPr>
            </w:pPr>
            <w:r>
              <w:rPr>
                <w:szCs w:val="24"/>
                <w:lang w:val="hu-HU"/>
              </w:rPr>
              <w:t>Hollandia</w:t>
            </w:r>
          </w:p>
        </w:tc>
        <w:tc>
          <w:tcPr>
            <w:tcW w:w="2520" w:type="dxa"/>
            <w:gridSpan w:val="2"/>
          </w:tcPr>
          <w:p w:rsidR="00DD0E24" w:rsidRDefault="00DD0E24" w:rsidP="00F304A4">
            <w:pPr>
              <w:pStyle w:val="5Normal"/>
              <w:jc w:val="center"/>
              <w:rPr>
                <w:szCs w:val="24"/>
              </w:rPr>
            </w:pPr>
            <w:r>
              <w:rPr>
                <w:szCs w:val="24"/>
              </w:rPr>
              <w:t>0,0</w:t>
            </w:r>
          </w:p>
        </w:tc>
        <w:tc>
          <w:tcPr>
            <w:tcW w:w="2583" w:type="dxa"/>
            <w:gridSpan w:val="2"/>
          </w:tcPr>
          <w:p w:rsidR="00DD0E24" w:rsidRDefault="00DD0E24" w:rsidP="00F304A4">
            <w:pPr>
              <w:pStyle w:val="5Normal"/>
              <w:jc w:val="center"/>
              <w:rPr>
                <w:szCs w:val="24"/>
              </w:rPr>
            </w:pPr>
            <w:r>
              <w:rPr>
                <w:szCs w:val="24"/>
              </w:rPr>
              <w:t>3,3</w:t>
            </w:r>
          </w:p>
        </w:tc>
      </w:tr>
      <w:tr w:rsidR="00DD0E24" w:rsidTr="00F304A4">
        <w:tc>
          <w:tcPr>
            <w:tcW w:w="2448" w:type="dxa"/>
          </w:tcPr>
          <w:p w:rsidR="00DD0E24" w:rsidRDefault="00DD0E24" w:rsidP="00F304A4">
            <w:pPr>
              <w:pStyle w:val="5Normal"/>
              <w:rPr>
                <w:szCs w:val="24"/>
              </w:rPr>
            </w:pPr>
            <w:r>
              <w:rPr>
                <w:szCs w:val="24"/>
                <w:lang w:val="hu-HU"/>
              </w:rPr>
              <w:t>Lengyelország</w:t>
            </w:r>
          </w:p>
        </w:tc>
        <w:tc>
          <w:tcPr>
            <w:tcW w:w="2520" w:type="dxa"/>
            <w:gridSpan w:val="2"/>
          </w:tcPr>
          <w:p w:rsidR="00DD0E24" w:rsidRDefault="00DD0E24" w:rsidP="00F304A4">
            <w:pPr>
              <w:pStyle w:val="5Normal"/>
              <w:jc w:val="center"/>
              <w:rPr>
                <w:szCs w:val="24"/>
              </w:rPr>
            </w:pPr>
            <w:r>
              <w:rPr>
                <w:szCs w:val="24"/>
              </w:rPr>
              <w:t>0,5</w:t>
            </w:r>
          </w:p>
        </w:tc>
        <w:tc>
          <w:tcPr>
            <w:tcW w:w="2583" w:type="dxa"/>
            <w:gridSpan w:val="2"/>
          </w:tcPr>
          <w:p w:rsidR="00DD0E24" w:rsidRDefault="00DD0E24" w:rsidP="00F304A4">
            <w:pPr>
              <w:pStyle w:val="5Normal"/>
              <w:jc w:val="center"/>
              <w:rPr>
                <w:szCs w:val="24"/>
              </w:rPr>
            </w:pPr>
            <w:r>
              <w:rPr>
                <w:szCs w:val="24"/>
              </w:rPr>
              <w:t>3,7</w:t>
            </w:r>
          </w:p>
        </w:tc>
      </w:tr>
      <w:tr w:rsidR="00DD0E24" w:rsidTr="00F304A4">
        <w:tc>
          <w:tcPr>
            <w:tcW w:w="2448" w:type="dxa"/>
          </w:tcPr>
          <w:p w:rsidR="00DD0E24" w:rsidRDefault="00DD0E24" w:rsidP="00F304A4">
            <w:pPr>
              <w:pStyle w:val="5Normal"/>
              <w:rPr>
                <w:szCs w:val="24"/>
              </w:rPr>
            </w:pPr>
            <w:r>
              <w:rPr>
                <w:szCs w:val="24"/>
                <w:lang w:val="hu-HU"/>
              </w:rPr>
              <w:t>Portugália</w:t>
            </w:r>
          </w:p>
        </w:tc>
        <w:tc>
          <w:tcPr>
            <w:tcW w:w="2520" w:type="dxa"/>
            <w:gridSpan w:val="2"/>
          </w:tcPr>
          <w:p w:rsidR="00DD0E24" w:rsidRDefault="00DD0E24" w:rsidP="00F304A4">
            <w:pPr>
              <w:pStyle w:val="5Normal"/>
              <w:jc w:val="center"/>
              <w:rPr>
                <w:szCs w:val="24"/>
              </w:rPr>
            </w:pPr>
            <w:r>
              <w:rPr>
                <w:szCs w:val="24"/>
              </w:rPr>
              <w:t>0,0</w:t>
            </w:r>
          </w:p>
        </w:tc>
        <w:tc>
          <w:tcPr>
            <w:tcW w:w="2583" w:type="dxa"/>
            <w:gridSpan w:val="2"/>
          </w:tcPr>
          <w:p w:rsidR="00DD0E24" w:rsidRDefault="00DD0E24" w:rsidP="00F304A4">
            <w:pPr>
              <w:pStyle w:val="5Normal"/>
              <w:jc w:val="center"/>
              <w:rPr>
                <w:szCs w:val="24"/>
              </w:rPr>
            </w:pPr>
            <w:r>
              <w:rPr>
                <w:szCs w:val="24"/>
              </w:rPr>
              <w:t>2,0</w:t>
            </w:r>
          </w:p>
        </w:tc>
      </w:tr>
      <w:tr w:rsidR="00DD0E24" w:rsidTr="00F304A4">
        <w:tc>
          <w:tcPr>
            <w:tcW w:w="2448" w:type="dxa"/>
          </w:tcPr>
          <w:p w:rsidR="00DD0E24" w:rsidRDefault="00DD0E24" w:rsidP="00F304A4">
            <w:pPr>
              <w:pStyle w:val="5Normal"/>
              <w:rPr>
                <w:szCs w:val="24"/>
              </w:rPr>
            </w:pPr>
            <w:r>
              <w:rPr>
                <w:szCs w:val="24"/>
                <w:lang w:val="hu-HU"/>
              </w:rPr>
              <w:t>Románia</w:t>
            </w:r>
          </w:p>
        </w:tc>
        <w:tc>
          <w:tcPr>
            <w:tcW w:w="2520" w:type="dxa"/>
            <w:gridSpan w:val="2"/>
          </w:tcPr>
          <w:p w:rsidR="00DD0E24" w:rsidRDefault="00DD0E24" w:rsidP="00F304A4">
            <w:pPr>
              <w:pStyle w:val="5Normal"/>
              <w:jc w:val="center"/>
              <w:rPr>
                <w:szCs w:val="24"/>
              </w:rPr>
            </w:pPr>
            <w:r>
              <w:rPr>
                <w:szCs w:val="24"/>
              </w:rPr>
              <w:t>-</w:t>
            </w:r>
          </w:p>
        </w:tc>
        <w:tc>
          <w:tcPr>
            <w:tcW w:w="2583" w:type="dxa"/>
            <w:gridSpan w:val="2"/>
          </w:tcPr>
          <w:p w:rsidR="00DD0E24" w:rsidRDefault="00DD0E24" w:rsidP="00F304A4">
            <w:pPr>
              <w:pStyle w:val="5Normal"/>
              <w:jc w:val="center"/>
              <w:rPr>
                <w:szCs w:val="24"/>
              </w:rPr>
            </w:pPr>
            <w:r>
              <w:rPr>
                <w:szCs w:val="24"/>
              </w:rPr>
              <w:t>2,3</w:t>
            </w:r>
            <w:r>
              <w:rPr>
                <w:rStyle w:val="Lbjegyzet-hivatkozs"/>
                <w:noProof/>
                <w:szCs w:val="24"/>
              </w:rPr>
              <w:footnoteReference w:id="5"/>
            </w:r>
          </w:p>
        </w:tc>
      </w:tr>
      <w:tr w:rsidR="00DD0E24" w:rsidTr="00F304A4">
        <w:tc>
          <w:tcPr>
            <w:tcW w:w="2448" w:type="dxa"/>
          </w:tcPr>
          <w:p w:rsidR="00DD0E24" w:rsidRDefault="00DD0E24" w:rsidP="00F304A4">
            <w:pPr>
              <w:pStyle w:val="5Normal"/>
              <w:rPr>
                <w:szCs w:val="24"/>
              </w:rPr>
            </w:pPr>
            <w:r>
              <w:rPr>
                <w:szCs w:val="24"/>
                <w:lang w:val="hu-HU"/>
              </w:rPr>
              <w:t>Szlovákia</w:t>
            </w:r>
          </w:p>
        </w:tc>
        <w:tc>
          <w:tcPr>
            <w:tcW w:w="2520" w:type="dxa"/>
            <w:gridSpan w:val="2"/>
          </w:tcPr>
          <w:p w:rsidR="00DD0E24" w:rsidRDefault="00DD0E24" w:rsidP="00F304A4">
            <w:pPr>
              <w:pStyle w:val="5Normal"/>
              <w:jc w:val="center"/>
              <w:rPr>
                <w:szCs w:val="24"/>
              </w:rPr>
            </w:pPr>
            <w:r>
              <w:rPr>
                <w:szCs w:val="24"/>
              </w:rPr>
              <w:t>0,1</w:t>
            </w:r>
          </w:p>
        </w:tc>
        <w:tc>
          <w:tcPr>
            <w:tcW w:w="2583" w:type="dxa"/>
            <w:gridSpan w:val="2"/>
          </w:tcPr>
          <w:p w:rsidR="00DD0E24" w:rsidRDefault="00DD0E24" w:rsidP="00F304A4">
            <w:pPr>
              <w:pStyle w:val="5Normal"/>
              <w:jc w:val="center"/>
              <w:rPr>
                <w:szCs w:val="24"/>
              </w:rPr>
            </w:pPr>
            <w:r>
              <w:rPr>
                <w:szCs w:val="24"/>
              </w:rPr>
              <w:t>2,7</w:t>
            </w:r>
          </w:p>
        </w:tc>
      </w:tr>
      <w:tr w:rsidR="00DD0E24" w:rsidTr="00F304A4">
        <w:tc>
          <w:tcPr>
            <w:tcW w:w="2448" w:type="dxa"/>
          </w:tcPr>
          <w:p w:rsidR="00DD0E24" w:rsidRDefault="00DD0E24" w:rsidP="00F304A4">
            <w:pPr>
              <w:pStyle w:val="5Normal"/>
              <w:rPr>
                <w:szCs w:val="24"/>
              </w:rPr>
            </w:pPr>
            <w:r>
              <w:rPr>
                <w:szCs w:val="24"/>
                <w:lang w:val="hu-HU"/>
              </w:rPr>
              <w:t>Szlovénia</w:t>
            </w:r>
          </w:p>
        </w:tc>
        <w:tc>
          <w:tcPr>
            <w:tcW w:w="2520" w:type="dxa"/>
            <w:gridSpan w:val="2"/>
          </w:tcPr>
          <w:p w:rsidR="00DD0E24" w:rsidRDefault="00DD0E24" w:rsidP="00F304A4">
            <w:pPr>
              <w:pStyle w:val="5Normal"/>
              <w:jc w:val="center"/>
              <w:rPr>
                <w:szCs w:val="24"/>
              </w:rPr>
            </w:pPr>
            <w:r>
              <w:rPr>
                <w:szCs w:val="24"/>
              </w:rPr>
              <w:t>0,0</w:t>
            </w:r>
          </w:p>
        </w:tc>
        <w:tc>
          <w:tcPr>
            <w:tcW w:w="2583" w:type="dxa"/>
            <w:gridSpan w:val="2"/>
          </w:tcPr>
          <w:p w:rsidR="00DD0E24" w:rsidRDefault="00DD0E24" w:rsidP="00F304A4">
            <w:pPr>
              <w:pStyle w:val="5Normal"/>
              <w:jc w:val="center"/>
              <w:rPr>
                <w:szCs w:val="24"/>
              </w:rPr>
            </w:pPr>
            <w:r>
              <w:rPr>
                <w:szCs w:val="24"/>
              </w:rPr>
              <w:t>1,2</w:t>
            </w:r>
          </w:p>
        </w:tc>
      </w:tr>
      <w:tr w:rsidR="00DD0E24" w:rsidTr="00F304A4">
        <w:tc>
          <w:tcPr>
            <w:tcW w:w="2448" w:type="dxa"/>
          </w:tcPr>
          <w:p w:rsidR="00DD0E24" w:rsidRDefault="00DD0E24" w:rsidP="00F304A4">
            <w:pPr>
              <w:pStyle w:val="5Normal"/>
              <w:rPr>
                <w:szCs w:val="24"/>
              </w:rPr>
            </w:pPr>
            <w:r>
              <w:rPr>
                <w:szCs w:val="24"/>
                <w:lang w:val="hu-HU"/>
              </w:rPr>
              <w:t>Spanyolország</w:t>
            </w:r>
          </w:p>
        </w:tc>
        <w:tc>
          <w:tcPr>
            <w:tcW w:w="2520" w:type="dxa"/>
            <w:gridSpan w:val="2"/>
          </w:tcPr>
          <w:p w:rsidR="00DD0E24" w:rsidRDefault="00DD0E24" w:rsidP="00F304A4">
            <w:pPr>
              <w:pStyle w:val="5Normal"/>
              <w:jc w:val="center"/>
              <w:rPr>
                <w:szCs w:val="24"/>
              </w:rPr>
            </w:pPr>
            <w:r>
              <w:rPr>
                <w:szCs w:val="24"/>
              </w:rPr>
              <w:t>0,4</w:t>
            </w:r>
          </w:p>
        </w:tc>
        <w:tc>
          <w:tcPr>
            <w:tcW w:w="2583" w:type="dxa"/>
            <w:gridSpan w:val="2"/>
          </w:tcPr>
          <w:p w:rsidR="00DD0E24" w:rsidRDefault="00DD0E24" w:rsidP="00F304A4">
            <w:pPr>
              <w:pStyle w:val="5Normal"/>
              <w:jc w:val="center"/>
              <w:rPr>
                <w:szCs w:val="24"/>
              </w:rPr>
            </w:pPr>
            <w:r>
              <w:rPr>
                <w:szCs w:val="24"/>
              </w:rPr>
              <w:t>2,0</w:t>
            </w:r>
          </w:p>
        </w:tc>
      </w:tr>
      <w:tr w:rsidR="00DD0E24" w:rsidTr="00F304A4">
        <w:tc>
          <w:tcPr>
            <w:tcW w:w="2448" w:type="dxa"/>
          </w:tcPr>
          <w:p w:rsidR="00DD0E24" w:rsidRDefault="00DD0E24" w:rsidP="00F304A4">
            <w:pPr>
              <w:pStyle w:val="5Normal"/>
              <w:rPr>
                <w:szCs w:val="24"/>
              </w:rPr>
            </w:pPr>
            <w:r>
              <w:rPr>
                <w:szCs w:val="24"/>
                <w:lang w:val="hu-HU"/>
              </w:rPr>
              <w:t>Svédország</w:t>
            </w:r>
          </w:p>
        </w:tc>
        <w:tc>
          <w:tcPr>
            <w:tcW w:w="2520" w:type="dxa"/>
            <w:gridSpan w:val="2"/>
          </w:tcPr>
          <w:p w:rsidR="00DD0E24" w:rsidRDefault="00DD0E24" w:rsidP="00F304A4">
            <w:pPr>
              <w:pStyle w:val="5Normal"/>
              <w:jc w:val="center"/>
              <w:rPr>
                <w:szCs w:val="24"/>
              </w:rPr>
            </w:pPr>
            <w:r>
              <w:rPr>
                <w:szCs w:val="24"/>
              </w:rPr>
              <w:t>1,3</w:t>
            </w:r>
          </w:p>
        </w:tc>
        <w:tc>
          <w:tcPr>
            <w:tcW w:w="2583" w:type="dxa"/>
            <w:gridSpan w:val="2"/>
          </w:tcPr>
          <w:p w:rsidR="00DD0E24" w:rsidRDefault="00DD0E24" w:rsidP="00F304A4">
            <w:pPr>
              <w:pStyle w:val="5Normal"/>
              <w:jc w:val="center"/>
              <w:rPr>
                <w:szCs w:val="24"/>
              </w:rPr>
            </w:pPr>
            <w:r>
              <w:rPr>
                <w:szCs w:val="24"/>
              </w:rPr>
              <w:t>5,0</w:t>
            </w:r>
          </w:p>
        </w:tc>
      </w:tr>
      <w:tr w:rsidR="00DD0E24" w:rsidTr="00F304A4">
        <w:tc>
          <w:tcPr>
            <w:tcW w:w="2448" w:type="dxa"/>
          </w:tcPr>
          <w:p w:rsidR="00DD0E24" w:rsidRDefault="00DD0E24" w:rsidP="00F304A4">
            <w:pPr>
              <w:pStyle w:val="5Normal"/>
              <w:rPr>
                <w:szCs w:val="24"/>
              </w:rPr>
            </w:pPr>
            <w:r>
              <w:rPr>
                <w:szCs w:val="24"/>
                <w:lang w:val="hu-HU"/>
              </w:rPr>
              <w:t>Egyesül Királyság</w:t>
            </w:r>
          </w:p>
        </w:tc>
        <w:tc>
          <w:tcPr>
            <w:tcW w:w="2520" w:type="dxa"/>
            <w:gridSpan w:val="2"/>
          </w:tcPr>
          <w:p w:rsidR="00DD0E24" w:rsidRDefault="00DD0E24" w:rsidP="00F304A4">
            <w:pPr>
              <w:pStyle w:val="5Normal"/>
              <w:jc w:val="center"/>
              <w:rPr>
                <w:szCs w:val="24"/>
              </w:rPr>
            </w:pPr>
            <w:r>
              <w:rPr>
                <w:szCs w:val="24"/>
              </w:rPr>
              <w:t>0,0</w:t>
            </w:r>
          </w:p>
        </w:tc>
        <w:tc>
          <w:tcPr>
            <w:tcW w:w="2583" w:type="dxa"/>
            <w:gridSpan w:val="2"/>
          </w:tcPr>
          <w:p w:rsidR="00DD0E24" w:rsidRDefault="00DD0E24" w:rsidP="00F304A4">
            <w:pPr>
              <w:pStyle w:val="5Normal"/>
              <w:jc w:val="center"/>
              <w:rPr>
                <w:szCs w:val="24"/>
              </w:rPr>
            </w:pPr>
            <w:r>
              <w:rPr>
                <w:szCs w:val="24"/>
              </w:rPr>
              <w:t>2,0</w:t>
            </w:r>
          </w:p>
        </w:tc>
      </w:tr>
      <w:tr w:rsidR="00DD0E24" w:rsidTr="00F304A4">
        <w:tc>
          <w:tcPr>
            <w:tcW w:w="2448" w:type="dxa"/>
            <w:tcBorders>
              <w:left w:val="nil"/>
              <w:bottom w:val="nil"/>
            </w:tcBorders>
          </w:tcPr>
          <w:p w:rsidR="00DD0E24" w:rsidRDefault="00DD0E24" w:rsidP="00F304A4">
            <w:pPr>
              <w:pStyle w:val="5Normal"/>
              <w:rPr>
                <w:b/>
                <w:szCs w:val="24"/>
              </w:rPr>
            </w:pPr>
          </w:p>
        </w:tc>
        <w:tc>
          <w:tcPr>
            <w:tcW w:w="1080" w:type="dxa"/>
            <w:tcBorders>
              <w:right w:val="nil"/>
            </w:tcBorders>
          </w:tcPr>
          <w:p w:rsidR="00DD0E24" w:rsidRDefault="00DD0E24" w:rsidP="00F304A4">
            <w:pPr>
              <w:pStyle w:val="5Normal"/>
              <w:jc w:val="center"/>
              <w:rPr>
                <w:szCs w:val="24"/>
              </w:rPr>
            </w:pPr>
            <w:r>
              <w:rPr>
                <w:b/>
                <w:szCs w:val="24"/>
                <w:lang w:val="hu-HU"/>
              </w:rPr>
              <w:t>EU 25</w:t>
            </w:r>
          </w:p>
        </w:tc>
        <w:tc>
          <w:tcPr>
            <w:tcW w:w="1440" w:type="dxa"/>
            <w:tcBorders>
              <w:left w:val="nil"/>
            </w:tcBorders>
          </w:tcPr>
          <w:p w:rsidR="00DD0E24" w:rsidRDefault="00DD0E24" w:rsidP="00F304A4">
            <w:pPr>
              <w:pStyle w:val="5Normal"/>
              <w:jc w:val="center"/>
              <w:rPr>
                <w:b/>
                <w:szCs w:val="24"/>
              </w:rPr>
            </w:pPr>
            <w:r>
              <w:rPr>
                <w:b/>
                <w:szCs w:val="24"/>
              </w:rPr>
              <w:t>0,5%</w:t>
            </w:r>
          </w:p>
        </w:tc>
        <w:tc>
          <w:tcPr>
            <w:tcW w:w="1071" w:type="dxa"/>
            <w:tcBorders>
              <w:right w:val="nil"/>
            </w:tcBorders>
          </w:tcPr>
          <w:p w:rsidR="00DD0E24" w:rsidRDefault="00DD0E24" w:rsidP="00F304A4">
            <w:pPr>
              <w:pStyle w:val="5Normal"/>
              <w:jc w:val="center"/>
              <w:rPr>
                <w:szCs w:val="24"/>
              </w:rPr>
            </w:pPr>
            <w:r>
              <w:rPr>
                <w:b/>
                <w:szCs w:val="24"/>
                <w:lang w:val="hu-HU"/>
              </w:rPr>
              <w:t>EU 27</w:t>
            </w:r>
          </w:p>
        </w:tc>
        <w:tc>
          <w:tcPr>
            <w:tcW w:w="1512" w:type="dxa"/>
            <w:tcBorders>
              <w:left w:val="nil"/>
            </w:tcBorders>
          </w:tcPr>
          <w:p w:rsidR="00DD0E24" w:rsidRDefault="00DD0E24" w:rsidP="00F304A4">
            <w:pPr>
              <w:pStyle w:val="5Normal"/>
              <w:jc w:val="center"/>
              <w:rPr>
                <w:szCs w:val="24"/>
              </w:rPr>
            </w:pPr>
            <w:r>
              <w:rPr>
                <w:b/>
                <w:szCs w:val="24"/>
              </w:rPr>
              <w:t>3,4%</w:t>
            </w:r>
            <w:r>
              <w:rPr>
                <w:rStyle w:val="Lbjegyzet-hivatkozs"/>
                <w:noProof/>
                <w:szCs w:val="24"/>
              </w:rPr>
              <w:footnoteReference w:id="6"/>
            </w:r>
          </w:p>
        </w:tc>
      </w:tr>
    </w:tbl>
    <w:p w:rsidR="00DD0E24" w:rsidRDefault="00DD0E24"/>
    <w:p w:rsidR="00DD0E24" w:rsidRDefault="00DD0E24"/>
    <w:p w:rsidR="00DD0E24" w:rsidRDefault="00DD0E24"/>
    <w:p w:rsidR="00DD0E24" w:rsidRDefault="00DD0E24"/>
    <w:p w:rsidR="00DD0E24" w:rsidRPr="00824327" w:rsidRDefault="00DD0E24" w:rsidP="00023853">
      <w:pPr>
        <w:pStyle w:val="3Titre"/>
      </w:pPr>
      <w:r w:rsidRPr="00824327">
        <w:t>Állami támogatások: A Bizottság konzultációt folytat az érdekelt felekkel az állami támogatási szabályoknak az általános gazdasági érdekű szolgáltatásokra való alkalmazásáról</w:t>
      </w:r>
    </w:p>
    <w:p w:rsidR="00DD0E24" w:rsidRPr="00824327" w:rsidRDefault="00DD0E24" w:rsidP="00DD0E24">
      <w:pPr>
        <w:pStyle w:val="4Chapeau"/>
        <w:rPr>
          <w:szCs w:val="24"/>
          <w:lang w:val="hu-HU"/>
        </w:rPr>
      </w:pPr>
      <w:r w:rsidRPr="00824327">
        <w:rPr>
          <w:szCs w:val="24"/>
          <w:lang w:val="hu-HU"/>
        </w:rPr>
        <w:t>Az Európai Bizottság nyilvános konzultációt indított az általános gazdasági érdekű szolgáltatásokról szóló 2005. évi csomagjának alkalmazásáról. A csomag útmutatást nyújt arra vonatkozóan, hogy az általános gazdasági érdekű szolgáltatások állami finanszírozása milyen feltételek mellett egyeztethető össze az állami támogatásokra vonatkozó uniós szabályokkal. A csomag elfogadására 2005 júliusában, az Európai Közösségek Bíróságának az Altmark-ügyben hozott iránymutat</w:t>
      </w:r>
      <w:r>
        <w:rPr>
          <w:szCs w:val="24"/>
          <w:lang w:val="hu-HU"/>
        </w:rPr>
        <w:t>ó ítéletét követően került sor.</w:t>
      </w:r>
    </w:p>
    <w:p w:rsidR="00DD0E24" w:rsidRPr="00824327" w:rsidRDefault="00DD0E24" w:rsidP="00DD0E24">
      <w:pPr>
        <w:pStyle w:val="5Normal"/>
        <w:rPr>
          <w:szCs w:val="24"/>
          <w:lang w:val="hu-HU"/>
        </w:rPr>
      </w:pPr>
      <w:r w:rsidRPr="00824327">
        <w:rPr>
          <w:szCs w:val="24"/>
          <w:lang w:val="hu-HU"/>
        </w:rPr>
        <w:t>„</w:t>
      </w:r>
      <w:r w:rsidRPr="00824327">
        <w:rPr>
          <w:i/>
          <w:szCs w:val="24"/>
          <w:lang w:val="hu-HU"/>
        </w:rPr>
        <w:t>A közszolgáltatások kulcsfontosságú szerepet játszanak az európai társadalmi modellben.  Nyilvánvaló, hogy vannak olyan tevékenységi területek, amelyeket semmilyen esetben sem bízhatunk kizárólag a piaci erőkre. A tagállamok túlnyomórészt maguk dönthetik el, hogy mely szolgáltatásokat tekintenek általános érdekű szolgáltatásnak. Az EU egységes piaca tekintetében azonban biztosítanunk kell, hogy a verseny torzulásának elkerülése végett</w:t>
      </w:r>
      <w:r w:rsidRPr="00824327">
        <w:rPr>
          <w:szCs w:val="24"/>
          <w:lang w:val="hu-HU"/>
        </w:rPr>
        <w:t xml:space="preserve"> </w:t>
      </w:r>
      <w:r w:rsidRPr="00824327">
        <w:rPr>
          <w:i/>
          <w:szCs w:val="24"/>
          <w:lang w:val="hu-HU"/>
        </w:rPr>
        <w:t xml:space="preserve">az ilyen szolgáltatások nyújtása a Szerződés által előírt szabályok alapján történjen. Ez még inkább fontos a mostanihoz hasonló időszakokban, amikor is a költségvetési konszolidáció alapvető feltétele a válság leküzdésének, a növekedés ösztönzésének és a társadalmi kohézió javításának” </w:t>
      </w:r>
      <w:r w:rsidRPr="00824327">
        <w:rPr>
          <w:szCs w:val="24"/>
          <w:lang w:val="hu-HU"/>
        </w:rPr>
        <w:t xml:space="preserve">nyilatkozta Joaquín Almunia alelnök, versenypolitikai biztos, majd hozzátette: </w:t>
      </w:r>
      <w:r w:rsidRPr="00824327">
        <w:rPr>
          <w:i/>
          <w:szCs w:val="24"/>
          <w:lang w:val="hu-HU"/>
        </w:rPr>
        <w:t>„A Bizottság elfogulatlan értékelést fog végezni, hogy a lehető legpontosabban azonosíthassa a 2005. évi csomag előnyeit és természetesen azokat a nehézségeket is, amelyekkel a tagállamok és az érdekelt felek az alkalmazás során szembesülhettek”.</w:t>
      </w:r>
    </w:p>
    <w:p w:rsidR="00DD0E24" w:rsidRPr="00824327" w:rsidRDefault="00DD0E24" w:rsidP="00DD0E24">
      <w:pPr>
        <w:pStyle w:val="5Normal"/>
        <w:tabs>
          <w:tab w:val="clear" w:pos="1134"/>
        </w:tabs>
        <w:rPr>
          <w:szCs w:val="24"/>
          <w:lang w:val="hu-HU"/>
        </w:rPr>
      </w:pPr>
      <w:r w:rsidRPr="00824327">
        <w:rPr>
          <w:szCs w:val="24"/>
          <w:lang w:val="hu-HU"/>
        </w:rPr>
        <w:t>Az Európai Bizottság a mai napon nyilvános konzultációt indít az általános gazdasági érdekű szolgáltatásokról szóló 2005. évi csomag alkalmazásának értékelése céljából.  A csomag azt kívánja egyértelműen meghatározni, hogy az általános gazdasági érdekű szolgáltatások állami finanszírozása mely feltételek mellett minősülhet összeegyeztethető állami támogatásnak.</w:t>
      </w:r>
    </w:p>
    <w:p w:rsidR="00DD0E24" w:rsidRPr="00824327" w:rsidRDefault="00DD0E24" w:rsidP="00DD0E24">
      <w:pPr>
        <w:rPr>
          <w:rFonts w:ascii="Calibri" w:eastAsia="Calibri" w:hAnsi="Calibri" w:cs="Times New Roman"/>
          <w:szCs w:val="24"/>
        </w:rPr>
      </w:pPr>
      <w:r w:rsidRPr="00BB6E22">
        <w:rPr>
          <w:rFonts w:ascii="Arial" w:eastAsia="Calibri" w:hAnsi="Arial" w:cs="Arial"/>
          <w:szCs w:val="24"/>
        </w:rPr>
        <w:t>A versenypolitikát nem kell minden általános érdekű szolgáltatásra alkalmazni, csupán azokra, amelyek gazdasági jellegűek. Ezeket nevezzük általános gazdasági érdekű szolgáltatásoknak. Az uniós jogszabályok értelmében az a tevékenység számít „gazdasági” tevékenységnek, amely egy adott piacon termékek előállítását és/vagy szolgáltatások nyújtását foglalja magában, mint például a műsor-, az energiaszolgáltatás, a fuvarozás és a postai szolgáltatások</w:t>
      </w:r>
      <w:r>
        <w:rPr>
          <w:rFonts w:ascii="Calibri" w:eastAsia="Calibri" w:hAnsi="Calibri" w:cs="Times New Roman"/>
          <w:szCs w:val="24"/>
        </w:rPr>
        <w:t>.</w:t>
      </w:r>
    </w:p>
    <w:p w:rsidR="00DD0E24" w:rsidRPr="00BB6E22" w:rsidRDefault="00DD0E24" w:rsidP="00DD0E24">
      <w:pPr>
        <w:rPr>
          <w:rFonts w:ascii="Arial" w:eastAsia="Calibri" w:hAnsi="Arial" w:cs="Arial"/>
          <w:sz w:val="20"/>
          <w:szCs w:val="20"/>
        </w:rPr>
      </w:pPr>
      <w:r w:rsidRPr="00BB6E22">
        <w:rPr>
          <w:rFonts w:ascii="Arial" w:eastAsia="Calibri" w:hAnsi="Arial" w:cs="Arial"/>
          <w:sz w:val="20"/>
          <w:szCs w:val="20"/>
        </w:rPr>
        <w:t>Az Európai Közösségek Bírósága az Altmark-ügyben hozott ítéletében</w:t>
      </w:r>
      <w:r w:rsidRPr="00BB6E22">
        <w:rPr>
          <w:rStyle w:val="FootnoteCharacters"/>
          <w:rFonts w:eastAsia="Calibri" w:cs="Arial"/>
          <w:szCs w:val="20"/>
        </w:rPr>
        <w:footnoteReference w:id="7"/>
      </w:r>
      <w:r w:rsidRPr="00BB6E22">
        <w:rPr>
          <w:rFonts w:ascii="Arial" w:eastAsia="Calibri" w:hAnsi="Arial" w:cs="Arial"/>
          <w:sz w:val="20"/>
          <w:szCs w:val="20"/>
        </w:rPr>
        <w:t xml:space="preserve"> megállapította, hogy az általános gazdasági érdekű szolgáltatások ellentételezése a Szerződés 107. cikkének (1) bekezdése értelmében állami támogatásnak minősül, és ezáltal a Bizottság ellenőrzése alá tartozik, kivéve ha az alábbi négy feltétel mindegyike teljesül:</w:t>
      </w:r>
    </w:p>
    <w:p w:rsidR="00DD0E24" w:rsidRPr="00BB6E22" w:rsidRDefault="00DD0E24" w:rsidP="00DD0E24">
      <w:pPr>
        <w:numPr>
          <w:ilvl w:val="0"/>
          <w:numId w:val="2"/>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rPr>
          <w:rFonts w:ascii="Arial" w:eastAsia="Calibri" w:hAnsi="Arial" w:cs="Arial"/>
          <w:sz w:val="20"/>
          <w:szCs w:val="20"/>
        </w:rPr>
      </w:pPr>
      <w:r w:rsidRPr="00BB6E22">
        <w:rPr>
          <w:rFonts w:ascii="Arial" w:eastAsia="Calibri" w:hAnsi="Arial" w:cs="Arial"/>
          <w:sz w:val="20"/>
          <w:szCs w:val="20"/>
        </w:rPr>
        <w:t>a kedvezményezett egyértelműen meghatározott közszolgáltatási feladatot lát el,</w:t>
      </w:r>
    </w:p>
    <w:p w:rsidR="00DD0E24" w:rsidRPr="00BB6E22" w:rsidRDefault="00DD0E24" w:rsidP="00DD0E24">
      <w:pPr>
        <w:numPr>
          <w:ilvl w:val="0"/>
          <w:numId w:val="3"/>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rPr>
          <w:rFonts w:ascii="Arial" w:eastAsia="Calibri" w:hAnsi="Arial" w:cs="Arial"/>
          <w:sz w:val="20"/>
          <w:szCs w:val="20"/>
        </w:rPr>
      </w:pPr>
      <w:r w:rsidRPr="00BB6E22">
        <w:rPr>
          <w:rFonts w:ascii="Arial" w:eastAsia="Calibri" w:hAnsi="Arial" w:cs="Arial"/>
          <w:sz w:val="20"/>
          <w:szCs w:val="20"/>
        </w:rPr>
        <w:t>az ellentételezés kifizetésének kiszámításához alapul szolgáló paramétereket előzetesen meghatározott, tárgyilagos és átlátható módon állapítják meg,</w:t>
      </w:r>
    </w:p>
    <w:p w:rsidR="00DD0E24" w:rsidRPr="00BB6E22" w:rsidRDefault="00DD0E24" w:rsidP="00DD0E24">
      <w:pPr>
        <w:numPr>
          <w:ilvl w:val="0"/>
          <w:numId w:val="4"/>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rPr>
          <w:rFonts w:ascii="Arial" w:eastAsia="Calibri" w:hAnsi="Arial" w:cs="Arial"/>
          <w:sz w:val="20"/>
          <w:szCs w:val="20"/>
        </w:rPr>
      </w:pPr>
      <w:r w:rsidRPr="00BB6E22">
        <w:rPr>
          <w:rFonts w:ascii="Arial" w:eastAsia="Calibri" w:hAnsi="Arial" w:cs="Arial"/>
          <w:sz w:val="20"/>
          <w:szCs w:val="20"/>
        </w:rPr>
        <w:t>az ellentételezés nem haladhatja meg a közszolgáltatási kötelezettségek végrehajtása során felmerülő költségeket, levonva abból a szolgáltatás nyújtásával elért bevételeket (az ellentételezés azonban tartalmazhat bizonyos összegű méltányos nyereséget),</w:t>
      </w:r>
    </w:p>
    <w:p w:rsidR="00DD0E24" w:rsidRPr="00BB6E22" w:rsidRDefault="00DD0E24" w:rsidP="00DD0E24">
      <w:pPr>
        <w:numPr>
          <w:ilvl w:val="0"/>
          <w:numId w:val="5"/>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rPr>
          <w:rFonts w:ascii="Arial" w:eastAsia="Calibri" w:hAnsi="Arial" w:cs="Arial"/>
          <w:sz w:val="20"/>
          <w:szCs w:val="20"/>
        </w:rPr>
      </w:pPr>
      <w:r w:rsidRPr="00BB6E22">
        <w:rPr>
          <w:rFonts w:ascii="Arial" w:eastAsia="Calibri" w:hAnsi="Arial" w:cs="Arial"/>
          <w:sz w:val="20"/>
          <w:szCs w:val="20"/>
        </w:rPr>
        <w:t>a kedvezményezettet pályázati eljárás útján választják ki vagy az ellentételezés nem lépi túl egy olyan, jól működő vállalkozás költségeit, amely megfelelő eszközökkel rendelkezik a közszolgáltatás nyújtására.</w:t>
      </w:r>
    </w:p>
    <w:p w:rsidR="00DD0E24" w:rsidRPr="00824327" w:rsidRDefault="00DD0E24" w:rsidP="00DD0E24">
      <w:pPr>
        <w:pStyle w:val="5Normal"/>
        <w:rPr>
          <w:szCs w:val="24"/>
          <w:lang w:val="hu-HU"/>
        </w:rPr>
      </w:pPr>
      <w:r w:rsidRPr="00824327">
        <w:rPr>
          <w:szCs w:val="24"/>
          <w:lang w:val="hu-HU"/>
        </w:rPr>
        <w:lastRenderedPageBreak/>
        <w:t>A Bizottság az Altmark-ítéletet követően 2005 júliusában fogadta el az általános gazdasági érdekű szolgáltatásokról szóló csomagot</w:t>
      </w:r>
      <w:r w:rsidRPr="00824327">
        <w:rPr>
          <w:rStyle w:val="FootnoteCharacters"/>
          <w:szCs w:val="24"/>
          <w:lang w:val="hu-HU"/>
        </w:rPr>
        <w:footnoteReference w:id="8"/>
      </w:r>
      <w:r w:rsidRPr="00824327">
        <w:rPr>
          <w:szCs w:val="24"/>
          <w:lang w:val="hu-HU"/>
        </w:rPr>
        <w:t>, amely a következőket</w:t>
      </w:r>
      <w:r>
        <w:rPr>
          <w:szCs w:val="24"/>
          <w:lang w:val="hu-HU"/>
        </w:rPr>
        <w:t xml:space="preserve"> foglalja magában:</w:t>
      </w:r>
    </w:p>
    <w:p w:rsidR="00DD0E24" w:rsidRPr="00824327" w:rsidRDefault="00DD0E24" w:rsidP="00DD0E24">
      <w:pPr>
        <w:pStyle w:val="5Normal"/>
        <w:rPr>
          <w:szCs w:val="24"/>
          <w:lang w:val="hu-HU"/>
        </w:rPr>
      </w:pPr>
      <w:r w:rsidRPr="00824327">
        <w:rPr>
          <w:szCs w:val="24"/>
          <w:lang w:val="hu-HU"/>
        </w:rPr>
        <w:t>– egy bizottsági határozatot, amely (az Európai Unió működéséről szóló szerződés 106. cikkének (3) bekezdése alapján) megállapítja azokat a feltételeket, amelyek mellett a közszolgáltatásokat nyújtó vállalkozásoknak fizetett ellentételezés az állami támogatásra vonatkozó szabályokkal összeegyeztethető, és a Bizottságnak nem kell előre bejelenteni. A határozat kórházakra és szociális célú lakásépítésre összegtől függetlenül vonatkozik, valamint egyéb ágazatokra is, amennyiben az ellentételezés éves szinten 30 millió euró és a kedvezményezett éves forgalma 100 millió euró alatt marad. A határozat hatálya alá tartozik – meghatározott küszöbértékeket el nem érő utasforgalom esetén – az unión belüli szigetekre történő tengeri és légi közlekedés, továbbá a meghatározott utasforgalmat el nem érő repülőterek és kikötők</w:t>
      </w:r>
      <w:r w:rsidRPr="00824327">
        <w:rPr>
          <w:rStyle w:val="FootnoteCharacters"/>
          <w:szCs w:val="24"/>
          <w:lang w:val="hu-HU"/>
        </w:rPr>
        <w:footnoteReference w:id="9"/>
      </w:r>
      <w:r w:rsidRPr="00824327">
        <w:rPr>
          <w:szCs w:val="24"/>
          <w:lang w:val="hu-HU"/>
        </w:rPr>
        <w:t>.</w:t>
      </w:r>
    </w:p>
    <w:p w:rsidR="00DD0E24" w:rsidRPr="00824327" w:rsidRDefault="00DD0E24" w:rsidP="00DD0E24">
      <w:pPr>
        <w:pStyle w:val="5Normal"/>
        <w:tabs>
          <w:tab w:val="clear" w:pos="1134"/>
        </w:tabs>
        <w:rPr>
          <w:szCs w:val="24"/>
          <w:lang w:val="hu-HU"/>
        </w:rPr>
      </w:pPr>
      <w:r w:rsidRPr="00824327">
        <w:rPr>
          <w:szCs w:val="24"/>
          <w:lang w:val="hu-HU"/>
        </w:rPr>
        <w:t>– egy keretszabályt, amely előírja azokat a feltételeket, amelyek alapján a határozat alá nem tartozó ellentételezések – a Bizottságnál történő bejelentést és a bizottsági vizsgálatot követően – mégis összeegyeztethetőnek minősülnek az állami támogatásra vonatkozó szabályokkal. A közszolgáltatás költségeit meghaladó, vagy a vállalkozások által más, a verseny számára nyitott piacokon felhasznált ellentételezések nem indokoltak, és a Szerződés állami támogatásokra vonatkozó szabályaival nem egyeztethetők össze.</w:t>
      </w:r>
    </w:p>
    <w:p w:rsidR="00DD0E24" w:rsidRPr="00824327" w:rsidRDefault="00DD0E24" w:rsidP="00DD0E24">
      <w:pPr>
        <w:pStyle w:val="5Normal"/>
        <w:tabs>
          <w:tab w:val="clear" w:pos="1134"/>
        </w:tabs>
        <w:rPr>
          <w:szCs w:val="24"/>
          <w:lang w:val="hu-HU"/>
        </w:rPr>
      </w:pPr>
      <w:r w:rsidRPr="00824327">
        <w:rPr>
          <w:szCs w:val="24"/>
          <w:lang w:val="hu-HU"/>
        </w:rPr>
        <w:t>A határozat és a keretszabály egyaránt előírja, hogy a Bizottság a csomag alkalmazását illetően szerzett információk és különösen a határozat alkalmazásáról a tagállami jelentésekben szereplő adatokra épülő széles körű bizottsági konzultációk eredményei alapján értékelő jelentést készít.</w:t>
      </w:r>
    </w:p>
    <w:p w:rsidR="00DD0E24" w:rsidRPr="00824327" w:rsidRDefault="00DD0E24" w:rsidP="00DD0E24">
      <w:pPr>
        <w:pStyle w:val="5Normal"/>
        <w:tabs>
          <w:tab w:val="clear" w:pos="1134"/>
        </w:tabs>
        <w:rPr>
          <w:szCs w:val="24"/>
          <w:lang w:val="hu-HU"/>
        </w:rPr>
      </w:pPr>
      <w:r w:rsidRPr="00824327">
        <w:rPr>
          <w:szCs w:val="24"/>
          <w:lang w:val="hu-HU"/>
        </w:rPr>
        <w:t>A Bizottság a mai napon közzétette a szabályok alkalmazásáról szóló tagállami jelentéseket, valamint a közszolgáltatóknak, a közszolgáltatások felhasználóinak, az érdekelt feleknek, a polgároknak és minden érdekeltnek szóló kérdőívet. A Bizottság a nyilvános konzultáció eredményeit a 2005. évi csomag értékeléséhez és az esetleges korrekciós javaslatokhoz is felhasználja majd.</w:t>
      </w:r>
    </w:p>
    <w:p w:rsidR="00DD0E24" w:rsidRDefault="00DD0E24"/>
    <w:p w:rsidR="00DD0E24" w:rsidRDefault="00DD0E24"/>
    <w:p w:rsidR="00BB6E22" w:rsidRDefault="00BB6E22"/>
    <w:p w:rsidR="00BB6E22" w:rsidRPr="007B65D8" w:rsidRDefault="00BB6E22" w:rsidP="00BB6E22">
      <w:pPr>
        <w:pStyle w:val="Char"/>
        <w:jc w:val="center"/>
        <w:rPr>
          <w:sz w:val="20"/>
          <w:lang w:val="hu-HU"/>
        </w:rPr>
      </w:pPr>
      <w:r w:rsidRPr="007B65D8">
        <w:rPr>
          <w:sz w:val="20"/>
          <w:lang w:val="hu-HU"/>
        </w:rPr>
        <w:t>Európai Bizottság, Kommunikációs Főigazgatóság napi hírei</w:t>
      </w:r>
    </w:p>
    <w:p w:rsidR="00DD0E24" w:rsidRDefault="00DD0E24"/>
    <w:p w:rsidR="00DD0E24" w:rsidRDefault="00BB6E22" w:rsidP="00DD0E24">
      <w:pPr>
        <w:pStyle w:val="astandard5ftitre20midday"/>
        <w:shd w:val="clear" w:color="auto" w:fill="FFFFFF"/>
        <w:rPr>
          <w:rFonts w:ascii="Arial" w:hAnsi="Arial" w:cs="Arial"/>
          <w:color w:val="003399"/>
          <w:sz w:val="19"/>
          <w:szCs w:val="19"/>
        </w:rPr>
      </w:pPr>
      <w:r>
        <w:t xml:space="preserve">Az </w:t>
      </w:r>
      <w:hyperlink r:id="rId12" w:history="1">
        <w:r w:rsidR="00DD0E24">
          <w:rPr>
            <w:rStyle w:val="at11"/>
            <w:rFonts w:ascii="Arial" w:hAnsi="Arial" w:cs="Arial"/>
            <w:b/>
            <w:bCs/>
            <w:color w:val="003399"/>
            <w:sz w:val="19"/>
            <w:szCs w:val="19"/>
            <w:u w:val="single"/>
          </w:rPr>
          <w:t xml:space="preserve">EU </w:t>
        </w:r>
        <w:r>
          <w:rPr>
            <w:rStyle w:val="at11"/>
            <w:rFonts w:ascii="Arial" w:hAnsi="Arial" w:cs="Arial"/>
            <w:b/>
            <w:bCs/>
            <w:color w:val="003399"/>
            <w:sz w:val="19"/>
            <w:szCs w:val="19"/>
            <w:u w:val="single"/>
          </w:rPr>
          <w:t>európai szociális dialógust kezdett</w:t>
        </w:r>
        <w:r w:rsidR="00DC3D8D">
          <w:rPr>
            <w:rStyle w:val="at11"/>
            <w:rFonts w:ascii="Arial" w:hAnsi="Arial" w:cs="Arial"/>
            <w:b/>
            <w:bCs/>
            <w:color w:val="003399"/>
            <w:sz w:val="19"/>
            <w:szCs w:val="19"/>
            <w:u w:val="single"/>
          </w:rPr>
          <w:t xml:space="preserve"> az oktatásban tevékenykedő munkavállalók és munkaadók felé </w:t>
        </w:r>
        <w:r w:rsidR="00DD0E24">
          <w:rPr>
            <w:rStyle w:val="at11"/>
            <w:rFonts w:ascii="Arial" w:hAnsi="Arial" w:cs="Arial"/>
            <w:b/>
            <w:bCs/>
            <w:color w:val="003399"/>
            <w:sz w:val="19"/>
            <w:szCs w:val="19"/>
            <w:u w:val="single"/>
          </w:rPr>
          <w:t xml:space="preserve"> </w:t>
        </w:r>
      </w:hyperlink>
    </w:p>
    <w:p w:rsidR="00DD0E24" w:rsidRDefault="00DC3D8D" w:rsidP="00DD0E24">
      <w:pPr>
        <w:pStyle w:val="astandard3520normal"/>
        <w:shd w:val="clear" w:color="auto" w:fill="FFFFFF"/>
        <w:rPr>
          <w:rFonts w:ascii="Arial" w:hAnsi="Arial" w:cs="Arial"/>
          <w:color w:val="003399"/>
          <w:sz w:val="19"/>
          <w:szCs w:val="19"/>
        </w:rPr>
      </w:pPr>
      <w:r>
        <w:rPr>
          <w:rFonts w:ascii="Arial" w:hAnsi="Arial" w:cs="Arial"/>
          <w:color w:val="003399"/>
          <w:sz w:val="19"/>
          <w:szCs w:val="19"/>
        </w:rPr>
        <w:t xml:space="preserve">A Bizottság ma egy új társadalmi párbeszéd bizottságot hozott létre az oktatás terén, tanárokkal, képzőkkel és az oktatásügyi hatóságok képviselőivel, hogy EU-szinten kezelje a szektor előtt álló problémákat. </w:t>
      </w:r>
      <w:r w:rsidR="00DD0E24">
        <w:rPr>
          <w:rFonts w:ascii="Arial" w:hAnsi="Arial" w:cs="Arial"/>
          <w:color w:val="003399"/>
          <w:sz w:val="19"/>
          <w:szCs w:val="19"/>
        </w:rPr>
        <w:t xml:space="preserve"> </w:t>
      </w:r>
      <w:r>
        <w:rPr>
          <w:rFonts w:ascii="Arial" w:hAnsi="Arial" w:cs="Arial"/>
          <w:color w:val="003399"/>
          <w:sz w:val="19"/>
          <w:szCs w:val="19"/>
        </w:rPr>
        <w:t xml:space="preserve">Az oktatásügy és a kutatás </w:t>
      </w:r>
      <w:r w:rsidR="00DD0E24">
        <w:rPr>
          <w:rFonts w:ascii="Arial" w:hAnsi="Arial" w:cs="Arial"/>
          <w:color w:val="003399"/>
          <w:sz w:val="19"/>
          <w:szCs w:val="19"/>
        </w:rPr>
        <w:t>14.7 milli</w:t>
      </w:r>
      <w:r>
        <w:rPr>
          <w:rFonts w:ascii="Arial" w:hAnsi="Arial" w:cs="Arial"/>
          <w:color w:val="003399"/>
          <w:sz w:val="19"/>
          <w:szCs w:val="19"/>
        </w:rPr>
        <w:t>ó munkavállalót alkalmaz és az EU GDP-ének</w:t>
      </w:r>
      <w:r w:rsidR="00DD0E24">
        <w:rPr>
          <w:rFonts w:ascii="Arial" w:hAnsi="Arial" w:cs="Arial"/>
          <w:color w:val="003399"/>
          <w:sz w:val="19"/>
          <w:szCs w:val="19"/>
        </w:rPr>
        <w:t xml:space="preserve"> 5.7%</w:t>
      </w:r>
      <w:r>
        <w:rPr>
          <w:rFonts w:ascii="Arial" w:hAnsi="Arial" w:cs="Arial"/>
          <w:color w:val="003399"/>
          <w:sz w:val="19"/>
          <w:szCs w:val="19"/>
        </w:rPr>
        <w:t>-t teszi ki</w:t>
      </w:r>
      <w:r w:rsidR="00DD0E24">
        <w:rPr>
          <w:rFonts w:ascii="Arial" w:hAnsi="Arial" w:cs="Arial"/>
          <w:color w:val="003399"/>
          <w:sz w:val="19"/>
          <w:szCs w:val="19"/>
        </w:rPr>
        <w:t xml:space="preserve">. </w:t>
      </w:r>
      <w:r>
        <w:rPr>
          <w:rFonts w:ascii="Arial" w:hAnsi="Arial" w:cs="Arial"/>
          <w:color w:val="003399"/>
          <w:sz w:val="19"/>
          <w:szCs w:val="19"/>
        </w:rPr>
        <w:t>A most létrehozott bizottságban jelen vannak a szakszervezetek és a munkaadók képviselői, hogy olyan témákat vitassanak meg, mint az oktatás minősége, az osztálytermi erőszak, a demográfiai trendekhez való igazodás és a költségvetési megszorítások hatásai</w:t>
      </w:r>
      <w:r w:rsidR="00DD0E24">
        <w:rPr>
          <w:rFonts w:ascii="Arial" w:hAnsi="Arial" w:cs="Arial"/>
          <w:color w:val="003399"/>
          <w:sz w:val="19"/>
          <w:szCs w:val="19"/>
        </w:rPr>
        <w:t xml:space="preserve">. </w:t>
      </w:r>
      <w:r>
        <w:rPr>
          <w:rFonts w:ascii="Arial" w:hAnsi="Arial" w:cs="Arial"/>
          <w:color w:val="003399"/>
          <w:sz w:val="19"/>
          <w:szCs w:val="19"/>
        </w:rPr>
        <w:t>Az ágazati társadalmi párbeszéd bizottságok indíthatnak közös akcióprogramokat, megállapodhatnak egyezményekben, elfogadhatnak iránymutatásokat, közvetlenül hozzájárulhatnak az EU munkaügyi jogszabályalkotás és politika tervezés kialakításához</w:t>
      </w:r>
      <w:r w:rsidR="00DD0E24">
        <w:rPr>
          <w:rFonts w:ascii="Arial" w:hAnsi="Arial" w:cs="Arial"/>
          <w:color w:val="003399"/>
          <w:sz w:val="19"/>
          <w:szCs w:val="19"/>
        </w:rPr>
        <w:t>.</w:t>
      </w:r>
    </w:p>
    <w:p w:rsidR="00DD0E24" w:rsidRDefault="00DD0E24"/>
    <w:p w:rsidR="00DD0E24" w:rsidRDefault="00273FD6" w:rsidP="00DD0E24">
      <w:pPr>
        <w:pStyle w:val="astandard5ftitre20midday"/>
        <w:shd w:val="clear" w:color="auto" w:fill="FFFFFF"/>
        <w:rPr>
          <w:rFonts w:ascii="Arial" w:hAnsi="Arial" w:cs="Arial"/>
          <w:color w:val="003399"/>
          <w:sz w:val="19"/>
          <w:szCs w:val="19"/>
        </w:rPr>
      </w:pPr>
      <w:hyperlink r:id="rId13" w:history="1">
        <w:r w:rsidR="00DC3D8D">
          <w:rPr>
            <w:rStyle w:val="at11"/>
            <w:rFonts w:ascii="Arial" w:hAnsi="Arial" w:cs="Arial"/>
            <w:b/>
            <w:bCs/>
            <w:color w:val="003399"/>
            <w:sz w:val="19"/>
            <w:szCs w:val="19"/>
            <w:u w:val="single"/>
          </w:rPr>
          <w:t>Kisvállalkozások</w:t>
        </w:r>
        <w:r w:rsidR="00DD0E24">
          <w:rPr>
            <w:rStyle w:val="at11"/>
            <w:rFonts w:ascii="Arial" w:hAnsi="Arial" w:cs="Arial"/>
            <w:b/>
            <w:bCs/>
            <w:color w:val="003399"/>
            <w:sz w:val="19"/>
            <w:szCs w:val="19"/>
            <w:u w:val="single"/>
          </w:rPr>
          <w:t xml:space="preserve">: </w:t>
        </w:r>
        <w:r w:rsidR="00DC3D8D">
          <w:rPr>
            <w:rStyle w:val="at11"/>
            <w:rFonts w:ascii="Arial" w:hAnsi="Arial" w:cs="Arial"/>
            <w:b/>
            <w:bCs/>
            <w:color w:val="003399"/>
            <w:sz w:val="19"/>
            <w:szCs w:val="19"/>
            <w:u w:val="single"/>
          </w:rPr>
          <w:t>Jobb politikával támogatni lehet az EU motorját jelentő kisvállalkozásokat</w:t>
        </w:r>
        <w:r w:rsidR="00DD0E24">
          <w:rPr>
            <w:rStyle w:val="at11"/>
            <w:rFonts w:ascii="Arial" w:hAnsi="Arial" w:cs="Arial"/>
            <w:b/>
            <w:bCs/>
            <w:color w:val="003399"/>
            <w:sz w:val="19"/>
            <w:szCs w:val="19"/>
            <w:u w:val="single"/>
          </w:rPr>
          <w:t xml:space="preserve"> </w:t>
        </w:r>
      </w:hyperlink>
    </w:p>
    <w:p w:rsidR="00DD0E24" w:rsidRDefault="00DC3D8D" w:rsidP="00DD0E24">
      <w:pPr>
        <w:pStyle w:val="astandard3520normal"/>
        <w:shd w:val="clear" w:color="auto" w:fill="FFFFFF"/>
        <w:rPr>
          <w:rFonts w:ascii="Arial" w:hAnsi="Arial" w:cs="Arial"/>
          <w:color w:val="003399"/>
          <w:sz w:val="19"/>
          <w:szCs w:val="19"/>
        </w:rPr>
      </w:pPr>
      <w:r>
        <w:rPr>
          <w:rFonts w:ascii="Arial" w:hAnsi="Arial" w:cs="Arial"/>
          <w:color w:val="003399"/>
          <w:sz w:val="19"/>
          <w:szCs w:val="19"/>
        </w:rPr>
        <w:t>A</w:t>
      </w:r>
      <w:r w:rsidR="00DD0E24">
        <w:rPr>
          <w:rFonts w:ascii="Arial" w:hAnsi="Arial" w:cs="Arial"/>
          <w:color w:val="003399"/>
          <w:sz w:val="19"/>
          <w:szCs w:val="19"/>
        </w:rPr>
        <w:t xml:space="preserve"> 2008</w:t>
      </w:r>
      <w:r>
        <w:rPr>
          <w:rFonts w:ascii="Arial" w:hAnsi="Arial" w:cs="Arial"/>
          <w:color w:val="003399"/>
          <w:sz w:val="19"/>
          <w:szCs w:val="19"/>
        </w:rPr>
        <w:t>-as gazdasági válság a kis- és középvállalkozások számára egy nagyon pozitív fejlődésnek vetett véget</w:t>
      </w:r>
      <w:r w:rsidR="00DD0E24">
        <w:rPr>
          <w:rFonts w:ascii="Arial" w:hAnsi="Arial" w:cs="Arial"/>
          <w:color w:val="003399"/>
          <w:sz w:val="19"/>
          <w:szCs w:val="19"/>
        </w:rPr>
        <w:t xml:space="preserve">. 2002 </w:t>
      </w:r>
      <w:r>
        <w:rPr>
          <w:rFonts w:ascii="Arial" w:hAnsi="Arial" w:cs="Arial"/>
          <w:color w:val="003399"/>
          <w:sz w:val="19"/>
          <w:szCs w:val="19"/>
        </w:rPr>
        <w:t>és</w:t>
      </w:r>
      <w:r w:rsidR="00DD0E24">
        <w:rPr>
          <w:rFonts w:ascii="Arial" w:hAnsi="Arial" w:cs="Arial"/>
          <w:color w:val="003399"/>
          <w:sz w:val="19"/>
          <w:szCs w:val="19"/>
        </w:rPr>
        <w:t xml:space="preserve"> 2008</w:t>
      </w:r>
      <w:r>
        <w:rPr>
          <w:rFonts w:ascii="Arial" w:hAnsi="Arial" w:cs="Arial"/>
          <w:color w:val="003399"/>
          <w:sz w:val="19"/>
          <w:szCs w:val="19"/>
        </w:rPr>
        <w:t xml:space="preserve"> között a KKV-k váltak Európa legfontosabb </w:t>
      </w:r>
      <w:r w:rsidR="00D55F0C">
        <w:rPr>
          <w:rFonts w:ascii="Arial" w:hAnsi="Arial" w:cs="Arial"/>
          <w:color w:val="003399"/>
          <w:sz w:val="19"/>
          <w:szCs w:val="19"/>
        </w:rPr>
        <w:t>munkaadóivá</w:t>
      </w:r>
      <w:r w:rsidR="00DD0E24">
        <w:rPr>
          <w:rFonts w:ascii="Arial" w:hAnsi="Arial" w:cs="Arial"/>
          <w:color w:val="003399"/>
          <w:sz w:val="19"/>
          <w:szCs w:val="19"/>
        </w:rPr>
        <w:t>. 9.4 milli</w:t>
      </w:r>
      <w:r w:rsidR="00D55F0C">
        <w:rPr>
          <w:rFonts w:ascii="Arial" w:hAnsi="Arial" w:cs="Arial"/>
          <w:color w:val="003399"/>
          <w:sz w:val="19"/>
          <w:szCs w:val="19"/>
        </w:rPr>
        <w:t>ó munkahelyet teremtettek ezen időszak alatt, többet mint a nagyvállalkozások</w:t>
      </w:r>
      <w:r w:rsidR="00DD0E24">
        <w:rPr>
          <w:rFonts w:ascii="Arial" w:hAnsi="Arial" w:cs="Arial"/>
          <w:color w:val="003399"/>
          <w:sz w:val="19"/>
          <w:szCs w:val="19"/>
        </w:rPr>
        <w:t xml:space="preserve">. </w:t>
      </w:r>
      <w:r w:rsidR="00D55F0C">
        <w:rPr>
          <w:rFonts w:ascii="Arial" w:hAnsi="Arial" w:cs="Arial"/>
          <w:color w:val="003399"/>
          <w:sz w:val="19"/>
          <w:szCs w:val="19"/>
        </w:rPr>
        <w:t>Ezzel éles ellentétben áll az a tény, hogy 2009-2010-ben a KKV-k közel</w:t>
      </w:r>
      <w:r w:rsidR="00DD0E24">
        <w:rPr>
          <w:rFonts w:ascii="Arial" w:hAnsi="Arial" w:cs="Arial"/>
          <w:color w:val="003399"/>
          <w:sz w:val="19"/>
          <w:szCs w:val="19"/>
        </w:rPr>
        <w:t xml:space="preserve"> 3.25 milli</w:t>
      </w:r>
      <w:r w:rsidR="00D55F0C">
        <w:rPr>
          <w:rFonts w:ascii="Arial" w:hAnsi="Arial" w:cs="Arial"/>
          <w:color w:val="003399"/>
          <w:sz w:val="19"/>
          <w:szCs w:val="19"/>
        </w:rPr>
        <w:t>ó munkahelyet szűntettek meg</w:t>
      </w:r>
      <w:r w:rsidR="00DD0E24">
        <w:rPr>
          <w:rFonts w:ascii="Arial" w:hAnsi="Arial" w:cs="Arial"/>
          <w:color w:val="003399"/>
          <w:sz w:val="19"/>
          <w:szCs w:val="19"/>
        </w:rPr>
        <w:t>.</w:t>
      </w:r>
      <w:r w:rsidR="00D55F0C">
        <w:rPr>
          <w:rFonts w:ascii="Arial" w:hAnsi="Arial" w:cs="Arial"/>
          <w:color w:val="003399"/>
          <w:sz w:val="19"/>
          <w:szCs w:val="19"/>
        </w:rPr>
        <w:t xml:space="preserve"> A jelentés kihangsúlyozza, hogy a tagállamok számos új kezdeményezést hoztak, de még nagyon sok tennivalójuk maradt, ahhoz hogy teljes mértékben megvalósítsák azt, amit az Európai Kisvállalkozói Törvényben vállaltak</w:t>
      </w:r>
      <w:r w:rsidR="00DD0E24">
        <w:rPr>
          <w:rFonts w:ascii="Arial" w:hAnsi="Arial" w:cs="Arial"/>
          <w:color w:val="003399"/>
          <w:sz w:val="19"/>
          <w:szCs w:val="19"/>
        </w:rPr>
        <w:t>.</w:t>
      </w:r>
    </w:p>
    <w:p w:rsidR="00DD0E24" w:rsidRDefault="00DD0E24"/>
    <w:p w:rsidR="00DC3D8D" w:rsidRPr="000A2F29" w:rsidRDefault="00DC3D8D" w:rsidP="00DC3D8D">
      <w:pPr>
        <w:pStyle w:val="astandard3520normal"/>
        <w:shd w:val="clear" w:color="auto" w:fill="FFFFFF"/>
        <w:rPr>
          <w:rFonts w:ascii="Arial" w:hAnsi="Arial" w:cs="Arial"/>
          <w:sz w:val="20"/>
          <w:szCs w:val="20"/>
        </w:rPr>
      </w:pPr>
      <w:r>
        <w:rPr>
          <w:rFonts w:ascii="Arial" w:hAnsi="Arial" w:cs="Arial"/>
          <w:sz w:val="20"/>
          <w:szCs w:val="20"/>
        </w:rPr>
        <w:t>Összeállította: IPOSZ Nemzetközi és Oktatási Igazgatóság</w:t>
      </w:r>
    </w:p>
    <w:p w:rsidR="00DC3D8D" w:rsidRDefault="00DC3D8D" w:rsidP="00DD0E24">
      <w:pPr>
        <w:pStyle w:val="astandard3520normal"/>
        <w:shd w:val="clear" w:color="auto" w:fill="FFFFFF"/>
        <w:rPr>
          <w:rFonts w:ascii="Arial" w:hAnsi="Arial" w:cs="Arial"/>
          <w:color w:val="003399"/>
          <w:sz w:val="19"/>
          <w:szCs w:val="19"/>
        </w:rPr>
      </w:pPr>
    </w:p>
    <w:p w:rsidR="00DC3D8D" w:rsidRDefault="00DC3D8D" w:rsidP="00DD0E24">
      <w:pPr>
        <w:pStyle w:val="astandard3520normal"/>
        <w:shd w:val="clear" w:color="auto" w:fill="FFFFFF"/>
        <w:rPr>
          <w:rFonts w:ascii="Arial" w:hAnsi="Arial" w:cs="Arial"/>
          <w:color w:val="003399"/>
          <w:sz w:val="19"/>
          <w:szCs w:val="19"/>
        </w:rPr>
      </w:pPr>
    </w:p>
    <w:sectPr w:rsidR="00DC3D8D" w:rsidSect="003318B0">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273" w:rsidRDefault="00D67273" w:rsidP="00DD0E24">
      <w:r>
        <w:separator/>
      </w:r>
    </w:p>
  </w:endnote>
  <w:endnote w:type="continuationSeparator" w:id="0">
    <w:p w:rsidR="00D67273" w:rsidRDefault="00D67273" w:rsidP="00DD0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2831"/>
      <w:docPartObj>
        <w:docPartGallery w:val="Page Numbers (Bottom of Page)"/>
        <w:docPartUnique/>
      </w:docPartObj>
    </w:sdtPr>
    <w:sdtContent>
      <w:p w:rsidR="00D55F0C" w:rsidRDefault="00D55F0C">
        <w:pPr>
          <w:pStyle w:val="llb"/>
          <w:jc w:val="center"/>
        </w:pPr>
        <w:fldSimple w:instr=" PAGE   \* MERGEFORMAT ">
          <w:r>
            <w:rPr>
              <w:noProof/>
            </w:rPr>
            <w:t>3</w:t>
          </w:r>
        </w:fldSimple>
      </w:p>
    </w:sdtContent>
  </w:sdt>
  <w:p w:rsidR="00D55F0C" w:rsidRDefault="00D55F0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273" w:rsidRDefault="00D67273" w:rsidP="00DD0E24">
      <w:r>
        <w:separator/>
      </w:r>
    </w:p>
  </w:footnote>
  <w:footnote w:type="continuationSeparator" w:id="0">
    <w:p w:rsidR="00D67273" w:rsidRDefault="00D67273" w:rsidP="00DD0E24">
      <w:r>
        <w:continuationSeparator/>
      </w:r>
    </w:p>
  </w:footnote>
  <w:footnote w:id="1">
    <w:p w:rsidR="00DD0E24" w:rsidRDefault="00DD0E24" w:rsidP="00DD0E24">
      <w:pPr>
        <w:pStyle w:val="Lbjegyzetszveg"/>
        <w:rPr>
          <w:szCs w:val="24"/>
          <w:lang w:val="en-IE"/>
        </w:rPr>
      </w:pPr>
      <w:r>
        <w:rPr>
          <w:rStyle w:val="Lbjegyzet-hivatkozs"/>
          <w:szCs w:val="24"/>
        </w:rPr>
        <w:footnoteRef/>
      </w:r>
      <w:r>
        <w:rPr>
          <w:szCs w:val="24"/>
        </w:rPr>
        <w:t xml:space="preserve"> </w:t>
      </w:r>
      <w:r>
        <w:rPr>
          <w:szCs w:val="24"/>
          <w:lang w:val="hu-HU"/>
        </w:rPr>
        <w:t>A 2009. április 23-i 2009/28/EK megújulóenergia-irányelv, HL L 140., 2009.6.5.</w:t>
      </w:r>
    </w:p>
    <w:p w:rsidR="00DD0E24" w:rsidRDefault="00DD0E24" w:rsidP="00DD0E24">
      <w:pPr>
        <w:pStyle w:val="Lbjegyzetszveg"/>
        <w:rPr>
          <w:szCs w:val="24"/>
        </w:rPr>
      </w:pPr>
    </w:p>
  </w:footnote>
  <w:footnote w:id="2">
    <w:p w:rsidR="00DD0E24" w:rsidRDefault="00DD0E24" w:rsidP="00DD0E24">
      <w:pPr>
        <w:pStyle w:val="Lbjegyzetszveg"/>
        <w:rPr>
          <w:szCs w:val="24"/>
        </w:rPr>
      </w:pPr>
      <w:r>
        <w:rPr>
          <w:rStyle w:val="Lbjegyzet-hivatkozs"/>
          <w:szCs w:val="24"/>
        </w:rPr>
        <w:footnoteRef/>
      </w:r>
      <w:r>
        <w:rPr>
          <w:szCs w:val="24"/>
        </w:rPr>
        <w:t xml:space="preserve"> </w:t>
      </w:r>
      <w:r>
        <w:rPr>
          <w:szCs w:val="24"/>
          <w:lang w:val="hu-HU"/>
        </w:rPr>
        <w:t>Csak biodízel.</w:t>
      </w:r>
    </w:p>
  </w:footnote>
  <w:footnote w:id="3">
    <w:p w:rsidR="00DD0E24" w:rsidRDefault="00DD0E24" w:rsidP="00DD0E24">
      <w:pPr>
        <w:pStyle w:val="Lbjegyzetszveg"/>
        <w:rPr>
          <w:szCs w:val="24"/>
        </w:rPr>
      </w:pPr>
      <w:r>
        <w:rPr>
          <w:rStyle w:val="Lbjegyzet-hivatkozs"/>
          <w:szCs w:val="24"/>
        </w:rPr>
        <w:footnoteRef/>
      </w:r>
      <w:r>
        <w:rPr>
          <w:szCs w:val="24"/>
        </w:rPr>
        <w:t xml:space="preserve"> </w:t>
      </w:r>
      <w:r>
        <w:rPr>
          <w:szCs w:val="24"/>
          <w:lang w:val="hu-HU"/>
        </w:rPr>
        <w:t>2007-es adatok.</w:t>
      </w:r>
    </w:p>
  </w:footnote>
  <w:footnote w:id="4">
    <w:p w:rsidR="00DD0E24" w:rsidRDefault="00DD0E24" w:rsidP="00DD0E24">
      <w:pPr>
        <w:pStyle w:val="Lbjegyzetszveg"/>
        <w:rPr>
          <w:szCs w:val="24"/>
        </w:rPr>
      </w:pPr>
      <w:r>
        <w:rPr>
          <w:rStyle w:val="Lbjegyzet-hivatkozs"/>
          <w:szCs w:val="24"/>
        </w:rPr>
        <w:footnoteRef/>
      </w:r>
      <w:r>
        <w:rPr>
          <w:szCs w:val="24"/>
        </w:rPr>
        <w:t xml:space="preserve"> </w:t>
      </w:r>
      <w:r>
        <w:rPr>
          <w:szCs w:val="24"/>
          <w:lang w:val="hu-HU"/>
        </w:rPr>
        <w:t>Csak biodízel.</w:t>
      </w:r>
    </w:p>
  </w:footnote>
  <w:footnote w:id="5">
    <w:p w:rsidR="00DD0E24" w:rsidRDefault="00DD0E24" w:rsidP="00DD0E24">
      <w:pPr>
        <w:pStyle w:val="Lbjegyzetszveg"/>
        <w:rPr>
          <w:szCs w:val="24"/>
        </w:rPr>
      </w:pPr>
      <w:r>
        <w:rPr>
          <w:rStyle w:val="Lbjegyzet-hivatkozs"/>
          <w:noProof/>
          <w:szCs w:val="24"/>
        </w:rPr>
        <w:footnoteRef/>
      </w:r>
      <w:r>
        <w:rPr>
          <w:noProof/>
          <w:szCs w:val="24"/>
        </w:rPr>
        <w:t xml:space="preserve"> </w:t>
      </w:r>
      <w:r>
        <w:rPr>
          <w:color w:val="0000FF"/>
          <w:szCs w:val="24"/>
          <w:lang w:val="hu-HU"/>
        </w:rPr>
        <w:t>Csak biodízel.</w:t>
      </w:r>
    </w:p>
  </w:footnote>
  <w:footnote w:id="6">
    <w:p w:rsidR="00DD0E24" w:rsidRDefault="00DD0E24" w:rsidP="00DD0E24">
      <w:pPr>
        <w:pStyle w:val="Lbjegyzetszveg"/>
        <w:rPr>
          <w:szCs w:val="24"/>
        </w:rPr>
      </w:pPr>
      <w:r>
        <w:rPr>
          <w:rStyle w:val="Lbjegyzet-hivatkozs"/>
          <w:szCs w:val="24"/>
        </w:rPr>
        <w:footnoteRef/>
      </w:r>
      <w:r>
        <w:rPr>
          <w:szCs w:val="24"/>
        </w:rPr>
        <w:t xml:space="preserve"> </w:t>
      </w:r>
      <w:r>
        <w:rPr>
          <w:szCs w:val="24"/>
          <w:lang w:val="hu-HU"/>
        </w:rPr>
        <w:t>Becslés.</w:t>
      </w:r>
    </w:p>
  </w:footnote>
  <w:footnote w:id="7">
    <w:p w:rsidR="00DD0E24" w:rsidRDefault="00DD0E24" w:rsidP="00DD0E24">
      <w:pPr>
        <w:pStyle w:val="Lbjegyzetszveg"/>
        <w:ind w:left="284" w:hanging="284"/>
        <w:jc w:val="both"/>
        <w:rPr>
          <w:szCs w:val="24"/>
        </w:rPr>
      </w:pPr>
      <w:r>
        <w:rPr>
          <w:rStyle w:val="FootnoteCharacters"/>
          <w:szCs w:val="24"/>
        </w:rPr>
        <w:footnoteRef/>
      </w:r>
      <w:r>
        <w:rPr>
          <w:szCs w:val="24"/>
        </w:rPr>
        <w:tab/>
      </w:r>
      <w:r>
        <w:rPr>
          <w:szCs w:val="24"/>
          <w:lang w:val="hu-HU"/>
        </w:rPr>
        <w:t>A C-280/00. sz. Altmark-ügy (EBHT 2003., I- 7747.), amelyet egy német bíróság utalt az Európai Közösségek Bírósága elé egy helyi tömegközlekedési szolgáltatást illető vita ügyében.</w:t>
      </w:r>
    </w:p>
  </w:footnote>
  <w:footnote w:id="8">
    <w:p w:rsidR="00DD0E24" w:rsidRDefault="00DD0E24" w:rsidP="00DD0E24">
      <w:pPr>
        <w:pStyle w:val="Lbjegyzetszveg"/>
        <w:tabs>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s>
        <w:ind w:left="284" w:hanging="284"/>
        <w:jc w:val="both"/>
        <w:rPr>
          <w:szCs w:val="24"/>
        </w:rPr>
      </w:pPr>
      <w:r>
        <w:rPr>
          <w:rStyle w:val="FootnoteCharacters"/>
          <w:szCs w:val="24"/>
        </w:rPr>
        <w:footnoteRef/>
      </w:r>
      <w:r>
        <w:rPr>
          <w:szCs w:val="24"/>
          <w:lang w:val="hu-HU"/>
        </w:rPr>
        <w:tab/>
        <w:t>http://europa.eu/rapid/pressReleasesAction.do?reference=IP/05/937&amp;format=HTML</w:t>
      </w:r>
      <w:r>
        <w:rPr>
          <w:szCs w:val="24"/>
          <w:lang w:val="hu-HU"/>
        </w:rPr>
        <w:br/>
        <w:t>&amp;aged=1&amp;language=EN&amp;guiLanguage=fr</w:t>
      </w:r>
    </w:p>
  </w:footnote>
  <w:footnote w:id="9">
    <w:p w:rsidR="00DD0E24" w:rsidRDefault="00DD0E24" w:rsidP="00DD0E24">
      <w:pPr>
        <w:pStyle w:val="Lbjegyzetszveg"/>
        <w:jc w:val="both"/>
        <w:rPr>
          <w:szCs w:val="24"/>
        </w:rPr>
      </w:pPr>
      <w:r>
        <w:rPr>
          <w:rStyle w:val="FootnoteCharacters"/>
          <w:szCs w:val="24"/>
        </w:rPr>
        <w:footnoteRef/>
      </w:r>
      <w:r>
        <w:rPr>
          <w:szCs w:val="24"/>
        </w:rPr>
        <w:tab/>
      </w:r>
      <w:r>
        <w:rPr>
          <w:szCs w:val="24"/>
          <w:lang w:val="hu-HU"/>
        </w:rPr>
        <w:t>Az olyan szigetekre történő légi és tengeri közlekedés esetében, amelyeknél az éves átlagos utasforgalom 300 000 főnél kevesebb, valamint olyan repülőterek és kikötők esetében, amelyek éves átlagos utasforgalma a repülőterek esetében 1000 000, a kikötők esetében pedig 300 000 főnél kevesebb.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07DF3"/>
    <w:multiLevelType w:val="hybridMultilevel"/>
    <w:tmpl w:val="5EC2CEB6"/>
    <w:name w:val="WW8Num3222"/>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598"/>
        </w:tabs>
        <w:ind w:left="598" w:hanging="360"/>
      </w:pPr>
      <w:rPr>
        <w:rFonts w:ascii="Courier New" w:hAnsi="Courier New" w:hint="default"/>
      </w:rPr>
    </w:lvl>
    <w:lvl w:ilvl="2" w:tplc="08090005" w:tentative="1">
      <w:start w:val="1"/>
      <w:numFmt w:val="bullet"/>
      <w:lvlText w:val=""/>
      <w:lvlJc w:val="left"/>
      <w:pPr>
        <w:tabs>
          <w:tab w:val="num" w:pos="1318"/>
        </w:tabs>
        <w:ind w:left="1318" w:hanging="360"/>
      </w:pPr>
      <w:rPr>
        <w:rFonts w:ascii="Wingdings" w:hAnsi="Wingdings" w:hint="default"/>
      </w:rPr>
    </w:lvl>
    <w:lvl w:ilvl="3" w:tplc="08090001" w:tentative="1">
      <w:start w:val="1"/>
      <w:numFmt w:val="bullet"/>
      <w:lvlText w:val=""/>
      <w:lvlJc w:val="left"/>
      <w:pPr>
        <w:tabs>
          <w:tab w:val="num" w:pos="2038"/>
        </w:tabs>
        <w:ind w:left="2038" w:hanging="360"/>
      </w:pPr>
      <w:rPr>
        <w:rFonts w:ascii="Symbol" w:hAnsi="Symbol" w:hint="default"/>
      </w:rPr>
    </w:lvl>
    <w:lvl w:ilvl="4" w:tplc="08090003" w:tentative="1">
      <w:start w:val="1"/>
      <w:numFmt w:val="bullet"/>
      <w:lvlText w:val="o"/>
      <w:lvlJc w:val="left"/>
      <w:pPr>
        <w:tabs>
          <w:tab w:val="num" w:pos="2758"/>
        </w:tabs>
        <w:ind w:left="2758" w:hanging="360"/>
      </w:pPr>
      <w:rPr>
        <w:rFonts w:ascii="Courier New" w:hAnsi="Courier New" w:hint="default"/>
      </w:rPr>
    </w:lvl>
    <w:lvl w:ilvl="5" w:tplc="08090005" w:tentative="1">
      <w:start w:val="1"/>
      <w:numFmt w:val="bullet"/>
      <w:lvlText w:val=""/>
      <w:lvlJc w:val="left"/>
      <w:pPr>
        <w:tabs>
          <w:tab w:val="num" w:pos="3478"/>
        </w:tabs>
        <w:ind w:left="3478" w:hanging="360"/>
      </w:pPr>
      <w:rPr>
        <w:rFonts w:ascii="Wingdings" w:hAnsi="Wingdings" w:hint="default"/>
      </w:rPr>
    </w:lvl>
    <w:lvl w:ilvl="6" w:tplc="08090001" w:tentative="1">
      <w:start w:val="1"/>
      <w:numFmt w:val="bullet"/>
      <w:lvlText w:val=""/>
      <w:lvlJc w:val="left"/>
      <w:pPr>
        <w:tabs>
          <w:tab w:val="num" w:pos="4198"/>
        </w:tabs>
        <w:ind w:left="4198" w:hanging="360"/>
      </w:pPr>
      <w:rPr>
        <w:rFonts w:ascii="Symbol" w:hAnsi="Symbol" w:hint="default"/>
      </w:rPr>
    </w:lvl>
    <w:lvl w:ilvl="7" w:tplc="08090003" w:tentative="1">
      <w:start w:val="1"/>
      <w:numFmt w:val="bullet"/>
      <w:lvlText w:val="o"/>
      <w:lvlJc w:val="left"/>
      <w:pPr>
        <w:tabs>
          <w:tab w:val="num" w:pos="4918"/>
        </w:tabs>
        <w:ind w:left="4918" w:hanging="360"/>
      </w:pPr>
      <w:rPr>
        <w:rFonts w:ascii="Courier New" w:hAnsi="Courier New" w:hint="default"/>
      </w:rPr>
    </w:lvl>
    <w:lvl w:ilvl="8" w:tplc="08090005" w:tentative="1">
      <w:start w:val="1"/>
      <w:numFmt w:val="bullet"/>
      <w:lvlText w:val=""/>
      <w:lvlJc w:val="left"/>
      <w:pPr>
        <w:tabs>
          <w:tab w:val="num" w:pos="5638"/>
        </w:tabs>
        <w:ind w:left="5638" w:hanging="360"/>
      </w:pPr>
      <w:rPr>
        <w:rFonts w:ascii="Wingdings" w:hAnsi="Wingdings" w:hint="default"/>
      </w:rPr>
    </w:lvl>
  </w:abstractNum>
  <w:abstractNum w:abstractNumId="1">
    <w:nsid w:val="20CB3BDF"/>
    <w:multiLevelType w:val="hybridMultilevel"/>
    <w:tmpl w:val="26B437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4A21CDC"/>
    <w:multiLevelType w:val="hybridMultilevel"/>
    <w:tmpl w:val="B3A42182"/>
    <w:name w:val="WW8Num32"/>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598"/>
        </w:tabs>
        <w:ind w:left="598" w:hanging="360"/>
      </w:pPr>
      <w:rPr>
        <w:rFonts w:ascii="Courier New" w:hAnsi="Courier New" w:hint="default"/>
      </w:rPr>
    </w:lvl>
    <w:lvl w:ilvl="2" w:tplc="08090005" w:tentative="1">
      <w:start w:val="1"/>
      <w:numFmt w:val="bullet"/>
      <w:lvlText w:val=""/>
      <w:lvlJc w:val="left"/>
      <w:pPr>
        <w:tabs>
          <w:tab w:val="num" w:pos="1318"/>
        </w:tabs>
        <w:ind w:left="1318" w:hanging="360"/>
      </w:pPr>
      <w:rPr>
        <w:rFonts w:ascii="Wingdings" w:hAnsi="Wingdings" w:hint="default"/>
      </w:rPr>
    </w:lvl>
    <w:lvl w:ilvl="3" w:tplc="08090001" w:tentative="1">
      <w:start w:val="1"/>
      <w:numFmt w:val="bullet"/>
      <w:lvlText w:val=""/>
      <w:lvlJc w:val="left"/>
      <w:pPr>
        <w:tabs>
          <w:tab w:val="num" w:pos="2038"/>
        </w:tabs>
        <w:ind w:left="2038" w:hanging="360"/>
      </w:pPr>
      <w:rPr>
        <w:rFonts w:ascii="Symbol" w:hAnsi="Symbol" w:hint="default"/>
      </w:rPr>
    </w:lvl>
    <w:lvl w:ilvl="4" w:tplc="08090003" w:tentative="1">
      <w:start w:val="1"/>
      <w:numFmt w:val="bullet"/>
      <w:lvlText w:val="o"/>
      <w:lvlJc w:val="left"/>
      <w:pPr>
        <w:tabs>
          <w:tab w:val="num" w:pos="2758"/>
        </w:tabs>
        <w:ind w:left="2758" w:hanging="360"/>
      </w:pPr>
      <w:rPr>
        <w:rFonts w:ascii="Courier New" w:hAnsi="Courier New" w:hint="default"/>
      </w:rPr>
    </w:lvl>
    <w:lvl w:ilvl="5" w:tplc="08090005" w:tentative="1">
      <w:start w:val="1"/>
      <w:numFmt w:val="bullet"/>
      <w:lvlText w:val=""/>
      <w:lvlJc w:val="left"/>
      <w:pPr>
        <w:tabs>
          <w:tab w:val="num" w:pos="3478"/>
        </w:tabs>
        <w:ind w:left="3478" w:hanging="360"/>
      </w:pPr>
      <w:rPr>
        <w:rFonts w:ascii="Wingdings" w:hAnsi="Wingdings" w:hint="default"/>
      </w:rPr>
    </w:lvl>
    <w:lvl w:ilvl="6" w:tplc="08090001" w:tentative="1">
      <w:start w:val="1"/>
      <w:numFmt w:val="bullet"/>
      <w:lvlText w:val=""/>
      <w:lvlJc w:val="left"/>
      <w:pPr>
        <w:tabs>
          <w:tab w:val="num" w:pos="4198"/>
        </w:tabs>
        <w:ind w:left="4198" w:hanging="360"/>
      </w:pPr>
      <w:rPr>
        <w:rFonts w:ascii="Symbol" w:hAnsi="Symbol" w:hint="default"/>
      </w:rPr>
    </w:lvl>
    <w:lvl w:ilvl="7" w:tplc="08090003" w:tentative="1">
      <w:start w:val="1"/>
      <w:numFmt w:val="bullet"/>
      <w:lvlText w:val="o"/>
      <w:lvlJc w:val="left"/>
      <w:pPr>
        <w:tabs>
          <w:tab w:val="num" w:pos="4918"/>
        </w:tabs>
        <w:ind w:left="4918" w:hanging="360"/>
      </w:pPr>
      <w:rPr>
        <w:rFonts w:ascii="Courier New" w:hAnsi="Courier New" w:hint="default"/>
      </w:rPr>
    </w:lvl>
    <w:lvl w:ilvl="8" w:tplc="08090005" w:tentative="1">
      <w:start w:val="1"/>
      <w:numFmt w:val="bullet"/>
      <w:lvlText w:val=""/>
      <w:lvlJc w:val="left"/>
      <w:pPr>
        <w:tabs>
          <w:tab w:val="num" w:pos="5638"/>
        </w:tabs>
        <w:ind w:left="5638" w:hanging="360"/>
      </w:pPr>
      <w:rPr>
        <w:rFonts w:ascii="Wingdings" w:hAnsi="Wingdings" w:hint="default"/>
      </w:rPr>
    </w:lvl>
  </w:abstractNum>
  <w:abstractNum w:abstractNumId="3">
    <w:nsid w:val="4D910C1B"/>
    <w:multiLevelType w:val="hybridMultilevel"/>
    <w:tmpl w:val="402E7FE4"/>
    <w:name w:val="WW8Num32222"/>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598"/>
        </w:tabs>
        <w:ind w:left="598" w:hanging="360"/>
      </w:pPr>
      <w:rPr>
        <w:rFonts w:ascii="Courier New" w:hAnsi="Courier New" w:hint="default"/>
      </w:rPr>
    </w:lvl>
    <w:lvl w:ilvl="2" w:tplc="08090005" w:tentative="1">
      <w:start w:val="1"/>
      <w:numFmt w:val="bullet"/>
      <w:lvlText w:val=""/>
      <w:lvlJc w:val="left"/>
      <w:pPr>
        <w:tabs>
          <w:tab w:val="num" w:pos="1318"/>
        </w:tabs>
        <w:ind w:left="1318" w:hanging="360"/>
      </w:pPr>
      <w:rPr>
        <w:rFonts w:ascii="Wingdings" w:hAnsi="Wingdings" w:hint="default"/>
      </w:rPr>
    </w:lvl>
    <w:lvl w:ilvl="3" w:tplc="08090001" w:tentative="1">
      <w:start w:val="1"/>
      <w:numFmt w:val="bullet"/>
      <w:lvlText w:val=""/>
      <w:lvlJc w:val="left"/>
      <w:pPr>
        <w:tabs>
          <w:tab w:val="num" w:pos="2038"/>
        </w:tabs>
        <w:ind w:left="2038" w:hanging="360"/>
      </w:pPr>
      <w:rPr>
        <w:rFonts w:ascii="Symbol" w:hAnsi="Symbol" w:hint="default"/>
      </w:rPr>
    </w:lvl>
    <w:lvl w:ilvl="4" w:tplc="08090003" w:tentative="1">
      <w:start w:val="1"/>
      <w:numFmt w:val="bullet"/>
      <w:lvlText w:val="o"/>
      <w:lvlJc w:val="left"/>
      <w:pPr>
        <w:tabs>
          <w:tab w:val="num" w:pos="2758"/>
        </w:tabs>
        <w:ind w:left="2758" w:hanging="360"/>
      </w:pPr>
      <w:rPr>
        <w:rFonts w:ascii="Courier New" w:hAnsi="Courier New" w:hint="default"/>
      </w:rPr>
    </w:lvl>
    <w:lvl w:ilvl="5" w:tplc="08090005" w:tentative="1">
      <w:start w:val="1"/>
      <w:numFmt w:val="bullet"/>
      <w:lvlText w:val=""/>
      <w:lvlJc w:val="left"/>
      <w:pPr>
        <w:tabs>
          <w:tab w:val="num" w:pos="3478"/>
        </w:tabs>
        <w:ind w:left="3478" w:hanging="360"/>
      </w:pPr>
      <w:rPr>
        <w:rFonts w:ascii="Wingdings" w:hAnsi="Wingdings" w:hint="default"/>
      </w:rPr>
    </w:lvl>
    <w:lvl w:ilvl="6" w:tplc="08090001" w:tentative="1">
      <w:start w:val="1"/>
      <w:numFmt w:val="bullet"/>
      <w:lvlText w:val=""/>
      <w:lvlJc w:val="left"/>
      <w:pPr>
        <w:tabs>
          <w:tab w:val="num" w:pos="4198"/>
        </w:tabs>
        <w:ind w:left="4198" w:hanging="360"/>
      </w:pPr>
      <w:rPr>
        <w:rFonts w:ascii="Symbol" w:hAnsi="Symbol" w:hint="default"/>
      </w:rPr>
    </w:lvl>
    <w:lvl w:ilvl="7" w:tplc="08090003" w:tentative="1">
      <w:start w:val="1"/>
      <w:numFmt w:val="bullet"/>
      <w:lvlText w:val="o"/>
      <w:lvlJc w:val="left"/>
      <w:pPr>
        <w:tabs>
          <w:tab w:val="num" w:pos="4918"/>
        </w:tabs>
        <w:ind w:left="4918" w:hanging="360"/>
      </w:pPr>
      <w:rPr>
        <w:rFonts w:ascii="Courier New" w:hAnsi="Courier New" w:hint="default"/>
      </w:rPr>
    </w:lvl>
    <w:lvl w:ilvl="8" w:tplc="08090005" w:tentative="1">
      <w:start w:val="1"/>
      <w:numFmt w:val="bullet"/>
      <w:lvlText w:val=""/>
      <w:lvlJc w:val="left"/>
      <w:pPr>
        <w:tabs>
          <w:tab w:val="num" w:pos="5638"/>
        </w:tabs>
        <w:ind w:left="5638" w:hanging="360"/>
      </w:pPr>
      <w:rPr>
        <w:rFonts w:ascii="Wingdings" w:hAnsi="Wingdings" w:hint="default"/>
      </w:rPr>
    </w:lvl>
  </w:abstractNum>
  <w:abstractNum w:abstractNumId="4">
    <w:nsid w:val="5DFD014F"/>
    <w:multiLevelType w:val="singleLevel"/>
    <w:tmpl w:val="03C29486"/>
    <w:lvl w:ilvl="0">
      <w:start w:val="1"/>
      <w:numFmt w:val="bullet"/>
      <w:pStyle w:val="Tiret1"/>
      <w:lvlText w:val="-"/>
      <w:lvlJc w:val="left"/>
      <w:pPr>
        <w:tabs>
          <w:tab w:val="num" w:pos="360"/>
        </w:tabs>
        <w:ind w:left="284" w:hanging="284"/>
      </w:pPr>
      <w:rPr>
        <w:rFonts w:ascii="Times New Roman" w:hAnsi="Times New Roman" w:hint="default"/>
      </w:rPr>
    </w:lvl>
  </w:abstractNum>
  <w:abstractNum w:abstractNumId="5">
    <w:nsid w:val="703D18E9"/>
    <w:multiLevelType w:val="hybridMultilevel"/>
    <w:tmpl w:val="C418742C"/>
    <w:name w:val="WW8Num322"/>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598"/>
        </w:tabs>
        <w:ind w:left="598" w:hanging="360"/>
      </w:pPr>
      <w:rPr>
        <w:rFonts w:ascii="Courier New" w:hAnsi="Courier New" w:hint="default"/>
      </w:rPr>
    </w:lvl>
    <w:lvl w:ilvl="2" w:tplc="08090005" w:tentative="1">
      <w:start w:val="1"/>
      <w:numFmt w:val="bullet"/>
      <w:lvlText w:val=""/>
      <w:lvlJc w:val="left"/>
      <w:pPr>
        <w:tabs>
          <w:tab w:val="num" w:pos="1318"/>
        </w:tabs>
        <w:ind w:left="1318" w:hanging="360"/>
      </w:pPr>
      <w:rPr>
        <w:rFonts w:ascii="Wingdings" w:hAnsi="Wingdings" w:hint="default"/>
      </w:rPr>
    </w:lvl>
    <w:lvl w:ilvl="3" w:tplc="08090001" w:tentative="1">
      <w:start w:val="1"/>
      <w:numFmt w:val="bullet"/>
      <w:lvlText w:val=""/>
      <w:lvlJc w:val="left"/>
      <w:pPr>
        <w:tabs>
          <w:tab w:val="num" w:pos="2038"/>
        </w:tabs>
        <w:ind w:left="2038" w:hanging="360"/>
      </w:pPr>
      <w:rPr>
        <w:rFonts w:ascii="Symbol" w:hAnsi="Symbol" w:hint="default"/>
      </w:rPr>
    </w:lvl>
    <w:lvl w:ilvl="4" w:tplc="08090003" w:tentative="1">
      <w:start w:val="1"/>
      <w:numFmt w:val="bullet"/>
      <w:lvlText w:val="o"/>
      <w:lvlJc w:val="left"/>
      <w:pPr>
        <w:tabs>
          <w:tab w:val="num" w:pos="2758"/>
        </w:tabs>
        <w:ind w:left="2758" w:hanging="360"/>
      </w:pPr>
      <w:rPr>
        <w:rFonts w:ascii="Courier New" w:hAnsi="Courier New" w:hint="default"/>
      </w:rPr>
    </w:lvl>
    <w:lvl w:ilvl="5" w:tplc="08090005" w:tentative="1">
      <w:start w:val="1"/>
      <w:numFmt w:val="bullet"/>
      <w:lvlText w:val=""/>
      <w:lvlJc w:val="left"/>
      <w:pPr>
        <w:tabs>
          <w:tab w:val="num" w:pos="3478"/>
        </w:tabs>
        <w:ind w:left="3478" w:hanging="360"/>
      </w:pPr>
      <w:rPr>
        <w:rFonts w:ascii="Wingdings" w:hAnsi="Wingdings" w:hint="default"/>
      </w:rPr>
    </w:lvl>
    <w:lvl w:ilvl="6" w:tplc="08090001" w:tentative="1">
      <w:start w:val="1"/>
      <w:numFmt w:val="bullet"/>
      <w:lvlText w:val=""/>
      <w:lvlJc w:val="left"/>
      <w:pPr>
        <w:tabs>
          <w:tab w:val="num" w:pos="4198"/>
        </w:tabs>
        <w:ind w:left="4198" w:hanging="360"/>
      </w:pPr>
      <w:rPr>
        <w:rFonts w:ascii="Symbol" w:hAnsi="Symbol" w:hint="default"/>
      </w:rPr>
    </w:lvl>
    <w:lvl w:ilvl="7" w:tplc="08090003" w:tentative="1">
      <w:start w:val="1"/>
      <w:numFmt w:val="bullet"/>
      <w:lvlText w:val="o"/>
      <w:lvlJc w:val="left"/>
      <w:pPr>
        <w:tabs>
          <w:tab w:val="num" w:pos="4918"/>
        </w:tabs>
        <w:ind w:left="4918" w:hanging="360"/>
      </w:pPr>
      <w:rPr>
        <w:rFonts w:ascii="Courier New" w:hAnsi="Courier New" w:hint="default"/>
      </w:rPr>
    </w:lvl>
    <w:lvl w:ilvl="8" w:tplc="08090005" w:tentative="1">
      <w:start w:val="1"/>
      <w:numFmt w:val="bullet"/>
      <w:lvlText w:val=""/>
      <w:lvlJc w:val="left"/>
      <w:pPr>
        <w:tabs>
          <w:tab w:val="num" w:pos="5638"/>
        </w:tabs>
        <w:ind w:left="5638"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D0E24"/>
    <w:rsid w:val="00023853"/>
    <w:rsid w:val="00273FD6"/>
    <w:rsid w:val="003318B0"/>
    <w:rsid w:val="004829F3"/>
    <w:rsid w:val="004905B8"/>
    <w:rsid w:val="00964E64"/>
    <w:rsid w:val="00BB6E22"/>
    <w:rsid w:val="00C17184"/>
    <w:rsid w:val="00D55F0C"/>
    <w:rsid w:val="00D67273"/>
    <w:rsid w:val="00DC3D8D"/>
    <w:rsid w:val="00DD0E24"/>
    <w:rsid w:val="00EA683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18B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standard5ftitre20midday">
    <w:name w:val="a_standard__5f_titre_20_midday"/>
    <w:basedOn w:val="Norml"/>
    <w:rsid w:val="00DD0E24"/>
    <w:pPr>
      <w:spacing w:before="100" w:beforeAutospacing="1" w:after="100" w:afterAutospacing="1"/>
      <w:jc w:val="left"/>
    </w:pPr>
    <w:rPr>
      <w:rFonts w:ascii="Times New Roman" w:eastAsia="Times New Roman" w:hAnsi="Times New Roman" w:cs="Times New Roman"/>
      <w:b/>
      <w:bCs/>
      <w:sz w:val="24"/>
      <w:szCs w:val="24"/>
      <w:lang w:eastAsia="hu-HU"/>
    </w:rPr>
  </w:style>
  <w:style w:type="paragraph" w:customStyle="1" w:styleId="astandard3520normal">
    <w:name w:val="a_standard__35__20_normal"/>
    <w:basedOn w:val="Norml"/>
    <w:rsid w:val="00DD0E2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at11">
    <w:name w:val="a__t11"/>
    <w:basedOn w:val="Bekezdsalapbettpusa"/>
    <w:rsid w:val="00DD0E24"/>
    <w:rPr>
      <w:b/>
      <w:bCs/>
    </w:rPr>
  </w:style>
  <w:style w:type="paragraph" w:customStyle="1" w:styleId="2Date">
    <w:name w:val="2 Date"/>
    <w:basedOn w:val="Norml"/>
    <w:next w:val="3Titre"/>
    <w:rsid w:val="00DD0E2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jc w:val="right"/>
    </w:pPr>
    <w:rPr>
      <w:rFonts w:ascii="Arial" w:eastAsia="Times New Roman" w:hAnsi="Arial" w:cs="Times New Roman"/>
      <w:snapToGrid w:val="0"/>
      <w:szCs w:val="20"/>
      <w:lang w:val="en-GB" w:eastAsia="en-GB"/>
    </w:rPr>
  </w:style>
  <w:style w:type="paragraph" w:customStyle="1" w:styleId="3Titre">
    <w:name w:val="3 Titre"/>
    <w:basedOn w:val="Norml"/>
    <w:next w:val="Norml"/>
    <w:autoRedefine/>
    <w:rsid w:val="0002385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120"/>
    </w:pPr>
    <w:rPr>
      <w:rFonts w:ascii="Times New Roman" w:eastAsia="Times New Roman" w:hAnsi="Times New Roman" w:cs="Times New Roman"/>
      <w:b/>
      <w:snapToGrid w:val="0"/>
      <w:sz w:val="24"/>
      <w:szCs w:val="24"/>
      <w:lang w:val="en-GB" w:eastAsia="en-GB"/>
    </w:rPr>
  </w:style>
  <w:style w:type="paragraph" w:customStyle="1" w:styleId="5Normal">
    <w:name w:val="5 Normal"/>
    <w:rsid w:val="00DD0E2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eastAsia="Times New Roman" w:hAnsi="Arial" w:cs="Times New Roman"/>
      <w:snapToGrid w:val="0"/>
      <w:spacing w:val="-2"/>
      <w:szCs w:val="20"/>
      <w:lang w:val="en-GB" w:eastAsia="en-GB"/>
    </w:rPr>
  </w:style>
  <w:style w:type="character" w:styleId="Lbjegyzet-hivatkozs">
    <w:name w:val="footnote reference"/>
    <w:basedOn w:val="Bekezdsalapbettpusa"/>
    <w:rsid w:val="00DD0E24"/>
    <w:rPr>
      <w:rFonts w:ascii="Arial" w:hAnsi="Arial" w:cs="Times New Roman"/>
      <w:b/>
      <w:kern w:val="0"/>
      <w:sz w:val="20"/>
      <w:vertAlign w:val="superscript"/>
    </w:rPr>
  </w:style>
  <w:style w:type="paragraph" w:styleId="Lbjegyzetszveg">
    <w:name w:val="footnote text"/>
    <w:basedOn w:val="Norml"/>
    <w:link w:val="LbjegyzetszvegChar"/>
    <w:rsid w:val="00DD0E2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170" w:hanging="170"/>
      <w:jc w:val="left"/>
    </w:pPr>
    <w:rPr>
      <w:rFonts w:ascii="Arial" w:eastAsia="Times New Roman" w:hAnsi="Arial" w:cs="Times New Roman"/>
      <w:snapToGrid w:val="0"/>
      <w:sz w:val="20"/>
      <w:szCs w:val="20"/>
      <w:lang w:val="en-GB" w:eastAsia="en-GB"/>
    </w:rPr>
  </w:style>
  <w:style w:type="character" w:customStyle="1" w:styleId="LbjegyzetszvegChar">
    <w:name w:val="Lábjegyzetszöveg Char"/>
    <w:basedOn w:val="Bekezdsalapbettpusa"/>
    <w:link w:val="Lbjegyzetszveg"/>
    <w:rsid w:val="00DD0E24"/>
    <w:rPr>
      <w:rFonts w:ascii="Arial" w:eastAsia="Times New Roman" w:hAnsi="Arial" w:cs="Times New Roman"/>
      <w:snapToGrid w:val="0"/>
      <w:sz w:val="20"/>
      <w:szCs w:val="20"/>
      <w:lang w:val="en-GB" w:eastAsia="en-GB"/>
    </w:rPr>
  </w:style>
  <w:style w:type="paragraph" w:customStyle="1" w:styleId="Sous-titre1">
    <w:name w:val="Sous-titre 1"/>
    <w:basedOn w:val="Norml"/>
    <w:next w:val="5Normal"/>
    <w:autoRedefine/>
    <w:rsid w:val="00964E6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rFonts w:ascii="Times New Roman" w:eastAsia="Times New Roman" w:hAnsi="Times New Roman" w:cs="Times New Roman"/>
      <w:b/>
      <w:snapToGrid w:val="0"/>
      <w:sz w:val="24"/>
      <w:szCs w:val="24"/>
      <w:lang w:eastAsia="en-GB"/>
    </w:rPr>
  </w:style>
  <w:style w:type="paragraph" w:customStyle="1" w:styleId="Tiret1">
    <w:name w:val="Tiret 1"/>
    <w:basedOn w:val="Norml"/>
    <w:autoRedefine/>
    <w:rsid w:val="00DD0E24"/>
    <w:pPr>
      <w:numPr>
        <w:numId w:val="1"/>
      </w:numPr>
      <w:tabs>
        <w:tab w:val="clear" w:pos="360"/>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0"/>
    </w:pPr>
    <w:rPr>
      <w:rFonts w:ascii="Arial" w:eastAsia="Times New Roman" w:hAnsi="Arial" w:cs="Times New Roman"/>
      <w:snapToGrid w:val="0"/>
      <w:szCs w:val="20"/>
      <w:lang w:val="en-GB" w:eastAsia="en-GB"/>
    </w:rPr>
  </w:style>
  <w:style w:type="table" w:styleId="Rcsostblzat">
    <w:name w:val="Table Grid"/>
    <w:basedOn w:val="Normltblzat"/>
    <w:rsid w:val="00DD0E24"/>
    <w:pPr>
      <w:jc w:val="left"/>
    </w:pPr>
    <w:rPr>
      <w:rFonts w:ascii="Times New Roman" w:eastAsia="Times New Roman" w:hAnsi="Times New Roman" w:cs="Times New Roman"/>
      <w:snapToGrid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rsid w:val="00DD0E24"/>
    <w:rPr>
      <w:rFonts w:cs="Times New Roman"/>
      <w:color w:val="0000FF"/>
      <w:u w:val="single"/>
    </w:rPr>
  </w:style>
  <w:style w:type="character" w:customStyle="1" w:styleId="FootnoteCharacters">
    <w:name w:val="Footnote Characters"/>
    <w:basedOn w:val="Bekezdsalapbettpusa"/>
    <w:rsid w:val="00DD0E24"/>
    <w:rPr>
      <w:rFonts w:ascii="Arial" w:hAnsi="Arial" w:cs="Times New Roman"/>
      <w:b/>
      <w:kern w:val="1"/>
      <w:sz w:val="20"/>
      <w:vertAlign w:val="superscript"/>
    </w:rPr>
  </w:style>
  <w:style w:type="paragraph" w:customStyle="1" w:styleId="4Chapeau">
    <w:name w:val="4 Chapeau"/>
    <w:basedOn w:val="Norml"/>
    <w:next w:val="5Normal"/>
    <w:link w:val="5NormalChar"/>
    <w:rsid w:val="00DD0E2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600" w:after="240"/>
    </w:pPr>
    <w:rPr>
      <w:rFonts w:ascii="Arial" w:eastAsia="Times New Roman" w:hAnsi="Arial" w:cs="Times New Roman"/>
      <w:b/>
      <w:i/>
      <w:snapToGrid w:val="0"/>
      <w:szCs w:val="20"/>
      <w:lang w:val="en-GB" w:eastAsia="en-GB"/>
    </w:rPr>
  </w:style>
  <w:style w:type="character" w:customStyle="1" w:styleId="at4">
    <w:name w:val="a__t4"/>
    <w:basedOn w:val="Bekezdsalapbettpusa"/>
    <w:rsid w:val="00C17184"/>
  </w:style>
  <w:style w:type="character" w:customStyle="1" w:styleId="5NormalChar">
    <w:name w:val="5 Normal Char"/>
    <w:basedOn w:val="Bekezdsalapbettpusa"/>
    <w:link w:val="4Chapeau"/>
    <w:locked/>
    <w:rsid w:val="00023853"/>
    <w:rPr>
      <w:rFonts w:ascii="Arial" w:eastAsia="Times New Roman" w:hAnsi="Arial" w:cs="Times New Roman"/>
      <w:b/>
      <w:i/>
      <w:snapToGrid w:val="0"/>
      <w:szCs w:val="20"/>
      <w:lang w:val="en-GB" w:eastAsia="en-GB"/>
    </w:rPr>
  </w:style>
  <w:style w:type="paragraph" w:customStyle="1" w:styleId="Char">
    <w:name w:val=" Char"/>
    <w:rsid w:val="00BB6E2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eastAsia="Times New Roman" w:hAnsi="Arial" w:cs="Times New Roman"/>
      <w:snapToGrid w:val="0"/>
      <w:spacing w:val="-2"/>
      <w:szCs w:val="20"/>
      <w:lang w:val="en-GB" w:eastAsia="en-GB"/>
    </w:rPr>
  </w:style>
  <w:style w:type="paragraph" w:styleId="lfej">
    <w:name w:val="header"/>
    <w:basedOn w:val="Norml"/>
    <w:link w:val="lfejChar"/>
    <w:uiPriority w:val="99"/>
    <w:semiHidden/>
    <w:unhideWhenUsed/>
    <w:rsid w:val="00D55F0C"/>
    <w:pPr>
      <w:tabs>
        <w:tab w:val="center" w:pos="4536"/>
        <w:tab w:val="right" w:pos="9072"/>
      </w:tabs>
    </w:pPr>
  </w:style>
  <w:style w:type="character" w:customStyle="1" w:styleId="lfejChar">
    <w:name w:val="Élőfej Char"/>
    <w:basedOn w:val="Bekezdsalapbettpusa"/>
    <w:link w:val="lfej"/>
    <w:uiPriority w:val="99"/>
    <w:semiHidden/>
    <w:rsid w:val="00D55F0C"/>
  </w:style>
  <w:style w:type="paragraph" w:styleId="llb">
    <w:name w:val="footer"/>
    <w:basedOn w:val="Norml"/>
    <w:link w:val="llbChar"/>
    <w:uiPriority w:val="99"/>
    <w:unhideWhenUsed/>
    <w:rsid w:val="00D55F0C"/>
    <w:pPr>
      <w:tabs>
        <w:tab w:val="center" w:pos="4536"/>
        <w:tab w:val="right" w:pos="9072"/>
      </w:tabs>
    </w:pPr>
  </w:style>
  <w:style w:type="character" w:customStyle="1" w:styleId="llbChar">
    <w:name w:val="Élőláb Char"/>
    <w:basedOn w:val="Bekezdsalapbettpusa"/>
    <w:link w:val="llb"/>
    <w:uiPriority w:val="99"/>
    <w:rsid w:val="00D55F0C"/>
  </w:style>
</w:styles>
</file>

<file path=word/webSettings.xml><?xml version="1.0" encoding="utf-8"?>
<w:webSettings xmlns:r="http://schemas.openxmlformats.org/officeDocument/2006/relationships" xmlns:w="http://schemas.openxmlformats.org/wordprocessingml/2006/main">
  <w:divs>
    <w:div w:id="401486776">
      <w:bodyDiv w:val="1"/>
      <w:marLeft w:val="0"/>
      <w:marRight w:val="0"/>
      <w:marTop w:val="0"/>
      <w:marBottom w:val="0"/>
      <w:divBdr>
        <w:top w:val="none" w:sz="0" w:space="0" w:color="auto"/>
        <w:left w:val="none" w:sz="0" w:space="0" w:color="auto"/>
        <w:bottom w:val="none" w:sz="0" w:space="0" w:color="auto"/>
        <w:right w:val="none" w:sz="0" w:space="0" w:color="auto"/>
      </w:divBdr>
      <w:divsChild>
        <w:div w:id="1324355325">
          <w:marLeft w:val="0"/>
          <w:marRight w:val="0"/>
          <w:marTop w:val="0"/>
          <w:marBottom w:val="0"/>
          <w:divBdr>
            <w:top w:val="none" w:sz="0" w:space="0" w:color="auto"/>
            <w:left w:val="none" w:sz="0" w:space="0" w:color="auto"/>
            <w:bottom w:val="none" w:sz="0" w:space="0" w:color="auto"/>
            <w:right w:val="none" w:sz="0" w:space="0" w:color="auto"/>
          </w:divBdr>
          <w:divsChild>
            <w:div w:id="1114833852">
              <w:marLeft w:val="120"/>
              <w:marRight w:val="120"/>
              <w:marTop w:val="0"/>
              <w:marBottom w:val="120"/>
              <w:divBdr>
                <w:top w:val="none" w:sz="0" w:space="0" w:color="auto"/>
                <w:left w:val="none" w:sz="0" w:space="0" w:color="auto"/>
                <w:bottom w:val="none" w:sz="0" w:space="0" w:color="auto"/>
                <w:right w:val="none" w:sz="0" w:space="0" w:color="auto"/>
              </w:divBdr>
              <w:divsChild>
                <w:div w:id="84304938">
                  <w:marLeft w:val="300"/>
                  <w:marRight w:val="300"/>
                  <w:marTop w:val="0"/>
                  <w:marBottom w:val="0"/>
                  <w:divBdr>
                    <w:top w:val="none" w:sz="0" w:space="0" w:color="auto"/>
                    <w:left w:val="none" w:sz="0" w:space="0" w:color="auto"/>
                    <w:bottom w:val="none" w:sz="0" w:space="0" w:color="auto"/>
                    <w:right w:val="none" w:sz="0" w:space="0" w:color="auto"/>
                  </w:divBdr>
                  <w:divsChild>
                    <w:div w:id="21172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6849">
      <w:bodyDiv w:val="1"/>
      <w:marLeft w:val="0"/>
      <w:marRight w:val="0"/>
      <w:marTop w:val="0"/>
      <w:marBottom w:val="0"/>
      <w:divBdr>
        <w:top w:val="none" w:sz="0" w:space="0" w:color="auto"/>
        <w:left w:val="none" w:sz="0" w:space="0" w:color="auto"/>
        <w:bottom w:val="none" w:sz="0" w:space="0" w:color="auto"/>
        <w:right w:val="none" w:sz="0" w:space="0" w:color="auto"/>
      </w:divBdr>
      <w:divsChild>
        <w:div w:id="995305617">
          <w:marLeft w:val="0"/>
          <w:marRight w:val="0"/>
          <w:marTop w:val="0"/>
          <w:marBottom w:val="0"/>
          <w:divBdr>
            <w:top w:val="none" w:sz="0" w:space="0" w:color="auto"/>
            <w:left w:val="none" w:sz="0" w:space="0" w:color="auto"/>
            <w:bottom w:val="none" w:sz="0" w:space="0" w:color="auto"/>
            <w:right w:val="none" w:sz="0" w:space="0" w:color="auto"/>
          </w:divBdr>
          <w:divsChild>
            <w:div w:id="2009556233">
              <w:marLeft w:val="120"/>
              <w:marRight w:val="120"/>
              <w:marTop w:val="0"/>
              <w:marBottom w:val="120"/>
              <w:divBdr>
                <w:top w:val="none" w:sz="0" w:space="0" w:color="auto"/>
                <w:left w:val="none" w:sz="0" w:space="0" w:color="auto"/>
                <w:bottom w:val="none" w:sz="0" w:space="0" w:color="auto"/>
                <w:right w:val="none" w:sz="0" w:space="0" w:color="auto"/>
              </w:divBdr>
              <w:divsChild>
                <w:div w:id="1214465676">
                  <w:marLeft w:val="300"/>
                  <w:marRight w:val="300"/>
                  <w:marTop w:val="0"/>
                  <w:marBottom w:val="0"/>
                  <w:divBdr>
                    <w:top w:val="none" w:sz="0" w:space="0" w:color="auto"/>
                    <w:left w:val="none" w:sz="0" w:space="0" w:color="auto"/>
                    <w:bottom w:val="none" w:sz="0" w:space="0" w:color="auto"/>
                    <w:right w:val="none" w:sz="0" w:space="0" w:color="auto"/>
                  </w:divBdr>
                  <w:divsChild>
                    <w:div w:id="1137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1105">
      <w:bodyDiv w:val="1"/>
      <w:marLeft w:val="0"/>
      <w:marRight w:val="0"/>
      <w:marTop w:val="0"/>
      <w:marBottom w:val="0"/>
      <w:divBdr>
        <w:top w:val="none" w:sz="0" w:space="0" w:color="auto"/>
        <w:left w:val="none" w:sz="0" w:space="0" w:color="auto"/>
        <w:bottom w:val="none" w:sz="0" w:space="0" w:color="auto"/>
        <w:right w:val="none" w:sz="0" w:space="0" w:color="auto"/>
      </w:divBdr>
      <w:divsChild>
        <w:div w:id="1213688508">
          <w:marLeft w:val="0"/>
          <w:marRight w:val="0"/>
          <w:marTop w:val="0"/>
          <w:marBottom w:val="0"/>
          <w:divBdr>
            <w:top w:val="none" w:sz="0" w:space="0" w:color="auto"/>
            <w:left w:val="none" w:sz="0" w:space="0" w:color="auto"/>
            <w:bottom w:val="none" w:sz="0" w:space="0" w:color="auto"/>
            <w:right w:val="none" w:sz="0" w:space="0" w:color="auto"/>
          </w:divBdr>
          <w:divsChild>
            <w:div w:id="514810955">
              <w:marLeft w:val="120"/>
              <w:marRight w:val="120"/>
              <w:marTop w:val="0"/>
              <w:marBottom w:val="120"/>
              <w:divBdr>
                <w:top w:val="none" w:sz="0" w:space="0" w:color="auto"/>
                <w:left w:val="none" w:sz="0" w:space="0" w:color="auto"/>
                <w:bottom w:val="none" w:sz="0" w:space="0" w:color="auto"/>
                <w:right w:val="none" w:sz="0" w:space="0" w:color="auto"/>
              </w:divBdr>
              <w:divsChild>
                <w:div w:id="1757436822">
                  <w:marLeft w:val="300"/>
                  <w:marRight w:val="300"/>
                  <w:marTop w:val="0"/>
                  <w:marBottom w:val="0"/>
                  <w:divBdr>
                    <w:top w:val="none" w:sz="0" w:space="0" w:color="auto"/>
                    <w:left w:val="none" w:sz="0" w:space="0" w:color="auto"/>
                    <w:bottom w:val="none" w:sz="0" w:space="0" w:color="auto"/>
                    <w:right w:val="none" w:sz="0" w:space="0" w:color="auto"/>
                  </w:divBdr>
                  <w:divsChild>
                    <w:div w:id="11142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91639">
      <w:bodyDiv w:val="1"/>
      <w:marLeft w:val="0"/>
      <w:marRight w:val="0"/>
      <w:marTop w:val="0"/>
      <w:marBottom w:val="0"/>
      <w:divBdr>
        <w:top w:val="none" w:sz="0" w:space="0" w:color="auto"/>
        <w:left w:val="none" w:sz="0" w:space="0" w:color="auto"/>
        <w:bottom w:val="none" w:sz="0" w:space="0" w:color="auto"/>
        <w:right w:val="none" w:sz="0" w:space="0" w:color="auto"/>
      </w:divBdr>
      <w:divsChild>
        <w:div w:id="430785960">
          <w:marLeft w:val="0"/>
          <w:marRight w:val="0"/>
          <w:marTop w:val="0"/>
          <w:marBottom w:val="0"/>
          <w:divBdr>
            <w:top w:val="none" w:sz="0" w:space="0" w:color="auto"/>
            <w:left w:val="none" w:sz="0" w:space="0" w:color="auto"/>
            <w:bottom w:val="none" w:sz="0" w:space="0" w:color="auto"/>
            <w:right w:val="none" w:sz="0" w:space="0" w:color="auto"/>
          </w:divBdr>
          <w:divsChild>
            <w:div w:id="1419982355">
              <w:marLeft w:val="120"/>
              <w:marRight w:val="120"/>
              <w:marTop w:val="0"/>
              <w:marBottom w:val="120"/>
              <w:divBdr>
                <w:top w:val="none" w:sz="0" w:space="0" w:color="auto"/>
                <w:left w:val="none" w:sz="0" w:space="0" w:color="auto"/>
                <w:bottom w:val="none" w:sz="0" w:space="0" w:color="auto"/>
                <w:right w:val="none" w:sz="0" w:space="0" w:color="auto"/>
              </w:divBdr>
              <w:divsChild>
                <w:div w:id="1347902629">
                  <w:marLeft w:val="300"/>
                  <w:marRight w:val="300"/>
                  <w:marTop w:val="0"/>
                  <w:marBottom w:val="0"/>
                  <w:divBdr>
                    <w:top w:val="none" w:sz="0" w:space="0" w:color="auto"/>
                    <w:left w:val="none" w:sz="0" w:space="0" w:color="auto"/>
                    <w:bottom w:val="none" w:sz="0" w:space="0" w:color="auto"/>
                    <w:right w:val="none" w:sz="0" w:space="0" w:color="auto"/>
                  </w:divBdr>
                  <w:divsChild>
                    <w:div w:id="202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4391">
      <w:bodyDiv w:val="1"/>
      <w:marLeft w:val="0"/>
      <w:marRight w:val="0"/>
      <w:marTop w:val="0"/>
      <w:marBottom w:val="0"/>
      <w:divBdr>
        <w:top w:val="none" w:sz="0" w:space="0" w:color="auto"/>
        <w:left w:val="none" w:sz="0" w:space="0" w:color="auto"/>
        <w:bottom w:val="none" w:sz="0" w:space="0" w:color="auto"/>
        <w:right w:val="none" w:sz="0" w:space="0" w:color="auto"/>
      </w:divBdr>
      <w:divsChild>
        <w:div w:id="816074780">
          <w:marLeft w:val="0"/>
          <w:marRight w:val="0"/>
          <w:marTop w:val="0"/>
          <w:marBottom w:val="0"/>
          <w:divBdr>
            <w:top w:val="none" w:sz="0" w:space="0" w:color="auto"/>
            <w:left w:val="none" w:sz="0" w:space="0" w:color="auto"/>
            <w:bottom w:val="none" w:sz="0" w:space="0" w:color="auto"/>
            <w:right w:val="none" w:sz="0" w:space="0" w:color="auto"/>
          </w:divBdr>
          <w:divsChild>
            <w:div w:id="638655951">
              <w:marLeft w:val="120"/>
              <w:marRight w:val="120"/>
              <w:marTop w:val="0"/>
              <w:marBottom w:val="120"/>
              <w:divBdr>
                <w:top w:val="none" w:sz="0" w:space="0" w:color="auto"/>
                <w:left w:val="none" w:sz="0" w:space="0" w:color="auto"/>
                <w:bottom w:val="none" w:sz="0" w:space="0" w:color="auto"/>
                <w:right w:val="none" w:sz="0" w:space="0" w:color="auto"/>
              </w:divBdr>
              <w:divsChild>
                <w:div w:id="1850215532">
                  <w:marLeft w:val="300"/>
                  <w:marRight w:val="300"/>
                  <w:marTop w:val="0"/>
                  <w:marBottom w:val="0"/>
                  <w:divBdr>
                    <w:top w:val="none" w:sz="0" w:space="0" w:color="auto"/>
                    <w:left w:val="none" w:sz="0" w:space="0" w:color="auto"/>
                    <w:bottom w:val="none" w:sz="0" w:space="0" w:color="auto"/>
                    <w:right w:val="none" w:sz="0" w:space="0" w:color="auto"/>
                  </w:divBdr>
                  <w:divsChild>
                    <w:div w:id="4438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795">
      <w:bodyDiv w:val="1"/>
      <w:marLeft w:val="0"/>
      <w:marRight w:val="0"/>
      <w:marTop w:val="0"/>
      <w:marBottom w:val="0"/>
      <w:divBdr>
        <w:top w:val="none" w:sz="0" w:space="0" w:color="auto"/>
        <w:left w:val="none" w:sz="0" w:space="0" w:color="auto"/>
        <w:bottom w:val="none" w:sz="0" w:space="0" w:color="auto"/>
        <w:right w:val="none" w:sz="0" w:space="0" w:color="auto"/>
      </w:divBdr>
      <w:divsChild>
        <w:div w:id="950933772">
          <w:marLeft w:val="0"/>
          <w:marRight w:val="0"/>
          <w:marTop w:val="0"/>
          <w:marBottom w:val="0"/>
          <w:divBdr>
            <w:top w:val="none" w:sz="0" w:space="0" w:color="auto"/>
            <w:left w:val="none" w:sz="0" w:space="0" w:color="auto"/>
            <w:bottom w:val="none" w:sz="0" w:space="0" w:color="auto"/>
            <w:right w:val="none" w:sz="0" w:space="0" w:color="auto"/>
          </w:divBdr>
          <w:divsChild>
            <w:div w:id="1867518118">
              <w:marLeft w:val="120"/>
              <w:marRight w:val="120"/>
              <w:marTop w:val="0"/>
              <w:marBottom w:val="120"/>
              <w:divBdr>
                <w:top w:val="none" w:sz="0" w:space="0" w:color="auto"/>
                <w:left w:val="none" w:sz="0" w:space="0" w:color="auto"/>
                <w:bottom w:val="none" w:sz="0" w:space="0" w:color="auto"/>
                <w:right w:val="none" w:sz="0" w:space="0" w:color="auto"/>
              </w:divBdr>
              <w:divsChild>
                <w:div w:id="2072001773">
                  <w:marLeft w:val="300"/>
                  <w:marRight w:val="300"/>
                  <w:marTop w:val="0"/>
                  <w:marBottom w:val="0"/>
                  <w:divBdr>
                    <w:top w:val="none" w:sz="0" w:space="0" w:color="auto"/>
                    <w:left w:val="none" w:sz="0" w:space="0" w:color="auto"/>
                    <w:bottom w:val="none" w:sz="0" w:space="0" w:color="auto"/>
                    <w:right w:val="none" w:sz="0" w:space="0" w:color="auto"/>
                  </w:divBdr>
                  <w:divsChild>
                    <w:div w:id="16849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elojade/isef/case_details.cfm?id=3_229182" TargetMode="External"/><Relationship Id="rId13" Type="http://schemas.openxmlformats.org/officeDocument/2006/relationships/hyperlink" Target="http://europa.eu/rapid/pressReleasesAction.do?reference=IP/10/723&amp;format=HTML&amp;aged=0&amp;language=EN&amp;guiLanguage=en" TargetMode="External"/><Relationship Id="rId3" Type="http://schemas.openxmlformats.org/officeDocument/2006/relationships/settings" Target="settings.xml"/><Relationship Id="rId7" Type="http://schemas.openxmlformats.org/officeDocument/2006/relationships/hyperlink" Target="http://ec.europa.eu/competition/state_aid/studies_reports/vademecum_on_rules_09_2008_hu.pdf" TargetMode="External"/><Relationship Id="rId12" Type="http://schemas.openxmlformats.org/officeDocument/2006/relationships/hyperlink" Target="http://europa.eu/rapid/pressReleasesAction.do?reference=IP/10/721&amp;format=HTML&amp;aged=0&amp;language=EN&amp;guiLanguage=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competition/state_aid/newsletter/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competition/state_aid/register/" TargetMode="External"/><Relationship Id="rId4" Type="http://schemas.openxmlformats.org/officeDocument/2006/relationships/webSettings" Target="webSettings.xml"/><Relationship Id="rId9" Type="http://schemas.openxmlformats.org/officeDocument/2006/relationships/hyperlink" Target="http://ec.europa.eu/competition/index_hu.html"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3351</Words>
  <Characters>23123</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Rettich Tamás</dc:creator>
  <cp:lastModifiedBy>Rettich Tamás</cp:lastModifiedBy>
  <cp:revision>2</cp:revision>
  <dcterms:created xsi:type="dcterms:W3CDTF">2010-07-11T17:19:00Z</dcterms:created>
  <dcterms:modified xsi:type="dcterms:W3CDTF">2010-08-24T05:51:00Z</dcterms:modified>
</cp:coreProperties>
</file>